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Regulatory Data Analyst with 11 years in software development focusing on web and mobile applications. Adept at interpreting regulatory databases, designing data models, and collaborating with engineering teams to enhance data ingestion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 Pandas,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MySQL, PostgreSQL, MongoDB, Oracle, Apache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APIs:</w:t>
      </w:r>
      <w:r w:rsidRPr="00745DD3">
        <w:rPr>
          <w:rFonts w:ascii="Roboto Light" w:eastAsia="Roboto Light" w:hAnsi="Roboto Light" w:cs="Roboto Light"/>
          <w:color w:val="404040" w:themeColor="text1" w:themeTint="BF"/>
          <w:sz w:val="20"/>
          <w:szCs w:val="20"/>
        </w:rPr>
        <w:t xml:space="preserve"> RESTful Services, GraphQL, Swagger, Postman, API Management, Data Validation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AI/LLM Content Validation, Predictive Analytics, Machine Learning Algorithms, Data Science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analyses of </w:t>
      </w:r>
      <w:r w:rsidRPr="00745DD3">
        <w:rPr>
          <w:rFonts w:ascii="Roboto Light" w:eastAsia="Roboto Light" w:hAnsi="Roboto Light" w:cs="Roboto Light"/>
          <w:b/>
          <w:bCs/>
          <w:color w:val="404040" w:themeColor="text1" w:themeTint="BF"/>
          <w:sz w:val="20"/>
          <w:szCs w:val="20"/>
        </w:rPr>
        <w:t xml:space="preserve">regulatory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map data accurately to internal structures, ensuring compliance and enhancing the quality of service for analysts referencing external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designed strategies for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 the ingestion of regulatory content, significantly improving operational efficiency and reducing time for data access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quality through systematic spot-checking and metadata validation processes which established a consistent feedback loop with external regulatory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adjusted data models to incorporate diverse regulatory formats, implementing solutions for effective parsing and structuring of data across various jurisdictions including the US and EU.</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on building </w:t>
      </w:r>
      <w:r w:rsidRPr="00745DD3">
        <w:rPr>
          <w:rFonts w:ascii="Roboto Light" w:eastAsia="Roboto Light" w:hAnsi="Roboto Light" w:cs="Roboto Light"/>
          <w:b/>
          <w:bCs/>
          <w:color w:val="404040" w:themeColor="text1" w:themeTint="BF"/>
          <w:sz w:val="20"/>
          <w:szCs w:val="20"/>
        </w:rPr>
        <w:t xml:space="preserve">data ingestion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highlighting project dependencies, delivering timely solutions, and resolving integration issues proactively to maintain continuous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reviews of AI-generated outputs to ensure accuracy and regulatory compliance, creating documentation and guidelines that stakeholders can reference for clarity and procedural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on the usage of internal tools designed for regulatory processes which improved team efficiency and supported various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data inputs, ensuring that all regulatory content was accurately represented across internal platforms, improving retrieval processes for end-users and analysts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within </w:t>
      </w:r>
      <w:r w:rsidRPr="00745DD3">
        <w:rPr>
          <w:rFonts w:ascii="Roboto Light" w:eastAsia="Roboto Light" w:hAnsi="Roboto Light" w:cs="Roboto Light"/>
          <w:b/>
          <w:bCs/>
          <w:color w:val="404040" w:themeColor="text1" w:themeTint="BF"/>
          <w:sz w:val="20"/>
          <w:szCs w:val="20"/>
        </w:rPr>
        <w:t xml:space="preserve">regulatory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on potential enhancements to existing tools, fostering an environment of innovation and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data analyses to key stakeholders within the organization, tailoring communication styles to match technical understanding and ensuring clarity of complex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Co-facilitated workshops focusing on best practices for interpreting and utilizing regulatory data, empowering team members with skills to handle legal documentation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regulatory data workflows that articulated standard operating procedures, making onboarding easier and ensuring continuity despite staffing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with offshore teams to enhance the efficiency of data monitoring practices, adopting agile methodologies to streamline project workflows across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regulatory technologies and integration techniques, contributing to personal growth while equipping the team with advanced capabilities relevant to current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optimize API performance, achieving responsiveness improvements in regulatory applications accessed by clients.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web applications that streamline compliance operations for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validation processes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deployment speed and higher code quality, thereby enhancing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of legacy systems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system resilience and adherence to modern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align on technical requirements for regulatory software projects, advocating for adherence to industry standards and regulations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database queries for various applications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performance enhancements and improved user satisfaction across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external APIs within company software, enhancing functionality and user experience, handling potential integration challenges systematically and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providing constructive feedback to peers and helping to elevate overall coding standards and adherence to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best practices for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quality assurance, sharing knowledge and resources to create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upcoming technology trends impacting regulatory frameworks, positioning the company to proactively adapt to changes in the regulatory landscape and enhancing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workflows, allowing for the automated classification of regulatory documents which significantly reduced manual intervention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files and documents through effective content pipelines while ensuring compliance with data structure requirements across federal and state regulations, strengthening overall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frameworks and maintained existing software solutions for </w:t>
      </w:r>
      <w:r w:rsidRPr="00745DD3">
        <w:rPr>
          <w:rFonts w:ascii="Roboto Light" w:eastAsia="Roboto Light" w:hAnsi="Roboto Light" w:cs="Roboto Light"/>
          <w:b/>
          <w:bCs/>
          <w:color w:val="404040" w:themeColor="text1" w:themeTint="BF"/>
          <w:sz w:val="20"/>
          <w:szCs w:val="20"/>
        </w:rPr>
        <w:t xml:space="preserve">legal document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compliance operations as well as facilitating user adaptability during new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