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Risk Management Specialist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risk management within the financial services sector, focusing on implementing Enterprise Risk Management Frameworks and overseeing regulatory compliance. Proven ability to synthesize complex risk data, drive strategic initiatives, and lead cross-functional teams in operations and risk governance.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xml:space="preserve"> Enterprise Risk Management Frameworks, Risk Assessment, Key Risk Indicators (KRIs), Operational Risk, Compliance Risk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Systems:</w:t>
      </w:r>
      <w:r w:rsidRPr="00745DD3">
        <w:rPr>
          <w:rFonts w:ascii="Roboto Light" w:eastAsia="Roboto Light" w:hAnsi="Roboto Light" w:cs="Roboto Light"/>
          <w:color w:val="404040" w:themeColor="text1" w:themeTint="BF"/>
          <w:sz w:val="20"/>
          <w:szCs w:val="20"/>
        </w:rPr>
        <w:t xml:space="preserve"> SAMA, FCA, Financial Authorities, Regulatory Compliance, Risk Reporting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Data Visualization, Power BI, Tableau,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Regulatory Knowledge:</w:t>
      </w:r>
      <w:r w:rsidRPr="00745DD3">
        <w:rPr>
          <w:rFonts w:ascii="Roboto Light" w:eastAsia="Roboto Light" w:hAnsi="Roboto Light" w:cs="Roboto Light"/>
          <w:color w:val="404040" w:themeColor="text1" w:themeTint="BF"/>
          <w:sz w:val="20"/>
          <w:szCs w:val="20"/>
        </w:rPr>
        <w:t xml:space="preserve"> Market Risk, Credit Risk, Operational Resilience, Prudential Reporting, IT Risk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Strategic Leadership, Data-driven Insights, Collaboration, Problem-solving, Adaptability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Risk Management Specialist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the </w:t>
      </w:r>
      <w:r w:rsidRPr="00745DD3">
        <w:rPr>
          <w:rFonts w:ascii="Roboto Light" w:eastAsia="Roboto Light" w:hAnsi="Roboto Light" w:cs="Roboto Light"/>
          <w:b/>
          <w:bCs/>
          <w:color w:val="404040" w:themeColor="text1" w:themeTint="BF"/>
          <w:sz w:val="20"/>
          <w:szCs w:val="20"/>
        </w:rPr>
        <w:t xml:space="preserve">Enterprise Risk Management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UK and MEA regions, achieving alignment with both global standards and local regulatory requirements, thus enhancing operational efficiency and compliance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liaison for </w:t>
      </w:r>
      <w:r w:rsidRPr="00745DD3">
        <w:rPr>
          <w:rFonts w:ascii="Roboto Light" w:eastAsia="Roboto Light" w:hAnsi="Roboto Light" w:cs="Roboto Light"/>
          <w:b/>
          <w:bCs/>
          <w:color w:val="404040" w:themeColor="text1" w:themeTint="BF"/>
          <w:sz w:val="20"/>
          <w:szCs w:val="20"/>
        </w:rPr>
        <w:t xml:space="preserve">SAMA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navigating complex regulatory landscapes to facilitate licensing processes, ensuring the organization's compliance with supervisory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Chaired the </w:t>
      </w:r>
      <w:r w:rsidRPr="00745DD3">
        <w:rPr>
          <w:rFonts w:ascii="Roboto Light" w:eastAsia="Roboto Light" w:hAnsi="Roboto Light" w:cs="Roboto Light"/>
          <w:b/>
          <w:bCs/>
          <w:color w:val="404040" w:themeColor="text1" w:themeTint="BF"/>
          <w:sz w:val="20"/>
          <w:szCs w:val="20"/>
        </w:rPr>
        <w:t xml:space="preserve">Regional Risk Forum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steering discussions on pivotal risk topics while providing data-driven insights that informed risk management strategies and supported executive-level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enterprise-wide </w:t>
      </w:r>
      <w:r w:rsidRPr="00745DD3">
        <w:rPr>
          <w:rFonts w:ascii="Roboto Light" w:eastAsia="Roboto Light" w:hAnsi="Roboto Light" w:cs="Roboto Light"/>
          <w:b/>
          <w:bCs/>
          <w:color w:val="404040" w:themeColor="text1" w:themeTint="BF"/>
          <w:sz w:val="20"/>
          <w:szCs w:val="20"/>
        </w:rPr>
        <w:t xml:space="preserve">risk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both financial and non-financial risks, effectively identifying vulnerabilities and developing mitigation strategies in line with global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w:t>
      </w:r>
      <w:r w:rsidRPr="00745DD3">
        <w:rPr>
          <w:rFonts w:ascii="Roboto Light" w:eastAsia="Roboto Light" w:hAnsi="Roboto Light" w:cs="Roboto Light"/>
          <w:b/>
          <w:bCs/>
          <w:color w:val="404040" w:themeColor="text1" w:themeTint="BF"/>
          <w:sz w:val="20"/>
          <w:szCs w:val="20"/>
        </w:rPr>
        <w:t xml:space="preserve">Key Risk Indicators (KRIs)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rigorous management and resolution of risk incidents to ensure timely reporting and adherence to local and global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partnerships with business leaders, fostering a culture of accountability in risk management, which significantly elevated the organization’s risk maturity across various operational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risk policies and procedures in compliance with </w:t>
      </w:r>
      <w:r w:rsidRPr="00745DD3">
        <w:rPr>
          <w:rFonts w:ascii="Roboto Light" w:eastAsia="Roboto Light" w:hAnsi="Roboto Light" w:cs="Roboto Light"/>
          <w:b/>
          <w:bCs/>
          <w:color w:val="404040" w:themeColor="text1" w:themeTint="BF"/>
          <w:sz w:val="20"/>
          <w:szCs w:val="20"/>
        </w:rPr>
        <w:t xml:space="preserve">SAMA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expectations, introducing frameworks that bolstered operational resilience and align with DORA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internal audit teams during regulatory inspections, ensuring the accuracy, completeness, and compliance of all risk documentation submitted to supervisory bodies.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kept abreast of regional risk developments and evolving regulatory expectations, contributing insights that drove continuous improvement in risk strategies and controls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risk reporting processes, improving the clarity and accessibility of risk information for stakeholders and regulators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risk analysts, enhancing their understanding of risk frameworks and fostering the development of critical analysis skills essential for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initiatives, leveraging comprehensive risk data to align organizational goals with risk management frameworks while identifying potential threats and opportunities in a dynamic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risk frameworks by introducing innovative technology solutions that streamlined processes, ensured greater efficiency, and improved overall regulatory compliance metrics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 teams focusing on the integration of </w:t>
      </w:r>
      <w:r w:rsidRPr="00745DD3">
        <w:rPr>
          <w:rFonts w:ascii="Roboto Light" w:eastAsia="Roboto Light" w:hAnsi="Roboto Light" w:cs="Roboto Light"/>
          <w:b/>
          <w:bCs/>
          <w:color w:val="404040" w:themeColor="text1" w:themeTint="BF"/>
          <w:sz w:val="20"/>
          <w:szCs w:val="20"/>
        </w:rPr>
        <w:t xml:space="preserve">risk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effectiveness in identifying, monitoring, and managing various risk categories.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advanced risk management methodologies, enabling the organization to adeptly navigate through challenging regulatory environments while maintaining high standards of governance.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and tools within the </w:t>
      </w:r>
      <w:r w:rsidRPr="00745DD3">
        <w:rPr>
          <w:rFonts w:ascii="Roboto Light" w:eastAsia="Roboto Light" w:hAnsi="Roboto Light" w:cs="Roboto Light"/>
          <w:b/>
          <w:bCs/>
          <w:color w:val="404040" w:themeColor="text1" w:themeTint="BF"/>
          <w:sz w:val="20"/>
          <w:szCs w:val="20"/>
        </w:rPr>
        <w:t xml:space="preserve">financial services sector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in risk management and compliance frameworks through efficient software design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mitigate operational risks, integrating compliance checkpoints into the SDLC to promote a culture of proactive risk management from inception through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enterprise-level analytics initiatives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depth of risk assessments and improve agility in responding to changing regulatory landscapes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reporting frameworks that provided key insights into financial and operational performance, supporting strategic decision-making in high-stakes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applications to visualize and manage </w:t>
      </w:r>
      <w:r w:rsidRPr="00745DD3">
        <w:rPr>
          <w:rFonts w:ascii="Roboto Light" w:eastAsia="Roboto Light" w:hAnsi="Roboto Light" w:cs="Roboto Light"/>
          <w:b/>
          <w:bCs/>
          <w:color w:val="404040" w:themeColor="text1" w:themeTint="BF"/>
          <w:sz w:val="20"/>
          <w:szCs w:val="20"/>
        </w:rPr>
        <w:t xml:space="preserve">Key Risk Indicators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stakeholder engagement and clearer communication of risk metrics across various levels of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regulatory requirements into real-time risk management dashboards, improving the timeliness and accuracy of compliance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workshops and training sessions to promote risk awareness and the importance of regulatory compliance within software development practices, enhancing the overall risk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audits and inspections, providing insights from a software development perspective, ensuring systems meet regulatory expectations while remaining user-centric and efficient.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insightful visualizations of risk data, enabling teams to grasp complex risk correlations more effectively and fostering 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project timelines and resource allocation, while ensuring that risk assessments were embedded into project milestones and reporting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risk impacts with stakeholders, translating technical compliance requirements into actionable software features that addressed business objectives and regulatory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to establish best practices for using statistical models and tools within the developer community, promoting an understanding of risk concepts essential for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