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developing scalable applications and data platforms. Expertise in AWS, Kafka, and Spark within distributed systems. Proven ability to lead engineering teams and mentor junior developers, driving solutions for complex data challenges in the fintech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Python,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Spark, Apache Flink, Apache Beam, Kafka, Iceberg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MSSQL, SQLite, Amazon Aurora,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Lambda, Google Cloud Platform,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scalable data architecture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support the growth of Arcesium’s data platform, ensuring data integrity and swift access across various financial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vast amounts of transactional data, driving significant improvements in data processing speeds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identification and implementation of data modeling techniques, fostering collaboration and innovation in designing scalable solutions catering to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guided a team of software engineers in adopting best practices in coding and data management, significantly enhancing the quality and performance of our data platform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asynchronous messaging systems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transport and enhance real-time data processing capabilities across several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and management of cloud-based data solutions, implementing rigorous access control security measures to protect sensitive financial data in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architectural design sessions with peers, ensuring high-quality output and knowledge sharing among engineering staff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Kafka Streams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applications, enabling immediate insights for users and improving overall system responsiveness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standards for data access protocols, enhancing data onboarding processes and improving collaboration among interdepartmental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warehouse management solutions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schema design and optimized query performance, contributing to overall data accessibility and usability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numerous projects involving the migration of legacy systems to modern architecture,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reliability and developer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modern development practices and emerging technologies, fostering a productive and innovative work environment focused on achieving organizational goals and improving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 integrations with external financial systems, facilitating seamless data exchange and enabling interoperability of diverse data sources to support sophisticated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with management and stakeholders to define technical roadmaps aligning with business objectives and emerging trends in the financial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 performance using </w:t>
      </w:r>
      <w:r w:rsidRPr="00745DD3">
        <w:rPr>
          <w:rFonts w:ascii="Roboto Light" w:eastAsia="Roboto Light" w:hAnsi="Roboto Light" w:cs="Roboto Light"/>
          <w:b/>
          <w:bCs/>
          <w:color w:val="404040" w:themeColor="text1" w:themeTint="BF"/>
          <w:sz w:val="20"/>
          <w:szCs w:val="20"/>
        </w:rPr>
        <w:t xml:space="preserve">APM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bottlenecks, ensuring operational excellence and high availability of data-driven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seamless integration of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access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driving the development of features that met client expectations while adhering to best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continuous deployment (CI/CD) efforts by designing and implementing automated build and release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 designers in crafting user-friendly applications, leveraging feedback for iterative improvements and ensuring the product met market demands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for server-side components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ensuring system reliability and minimizing performance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external data sourcing, expanding application functionality and enabling sophisticated data utilization across Microsoft products and services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applying best practices for scalability and performance optimization, fostering a shared vision that aligned engineering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retrieval times and performance consistency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database load and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promoting best coding practices among peers which led to improved code quality and team cohesion while supporting the onboarding of new engineering talent.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through effective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stakeholders informed on progress and adapting quickly to evolving project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error logging and tracking systems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clear visibility into application performance and user experiences, which in turn resulted in faster resolution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understanding complex system architectures and effective coding techniques, while contributing to personal and professional growth within the software engineering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