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applications, specializing in cloud-native architecture, data platforms, and distributed systems. Proven expertise in leading teams and aligning technical strategies with business goals to drive innovation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Scala,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Spark, Flink, Hadoop, Iceberg, Delta Lake, NoSQL Databases, Columnar Data Warehouses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DevOps, SOA,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Lineage, Policy-Based Access Control, API Management, ETL Tools, Data Quality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strategy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alignment between business needs and technical architecture by adopting a proactive governance process that established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cross-region, multi-cloud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low-latency performance while maintaining strict uptime SLOs to meet enterprise requirements for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data-sharing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business process automation and increased system interoperability, fostering collaboration across teams and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prioritized standardization, modernization, and cost-efficiency, positioning the organization for sustained growth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engineering teams,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effectively managing stakeholder relationships at the VP and C-suite levels through strategic narratives.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productization of machine learning initiatives, including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stores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organization's capabilities in ML-driven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to bolster the company's architecture and development processes, ensuring that the organization remained competitive and self-sufficient in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company-wide data governance initiatives, implementing frameworks that 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automating data lineage and policy-based access management for increased compliance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technology portfolio by evaluating existing systems and introducing innovative tools and practices that improved performance, efficiency, and reduced operational costs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engagement through collaborative initiatives and knowledge-sharing sessions, thereby creating an inclusive work environment and enhancing overall team productivity and morale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research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integration and deployment pipelines of ML models while ensuring that governance and compliance standards were met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reference implementations and prototypes for new architectural patterns, validating effectiveness through rigorous testing and iterations, which ultimately informed future technological investments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Synchronized efforts between business development and technical teams, ensuring that product offerings were aligned with customer expectations and industry trends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satisfaction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technical documentation and training materials that facilitated knowledge transfer and upskilling across the organization, supporting ongoing staff development and performance optimization.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risk and compliance standards through the architecture review process, ensuring all projects adhered to organizational guidelines while promoting innovation and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performance and responsiveness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best practices tailored for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during the transition of applications to the cloud, increasing deployment speed and improving the operational efficiency of services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spearheading the design of features that aligned with both user expectations and technical feasibility for integrated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introducing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resource utilization in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manage data effectively, ensuring data integrity and accessibility for various analytics and operational tasks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application lifecycle management, overseeing phases from concept to deployment, while ensuring alignment with client requirements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practices by participating in daily stand-ups, and retrospectives, and promoting a culture of open communication and rapid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established coding standards and architectural guidelines, which consistently enhanced code quality and reduced technical debt across all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effective monitoring solutions to proactively identify and troubleshoot system performance issues, ensuring minimal downtime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skill development and adherence to coding best practices while enhancing the overall capability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logistics and operational efficiency through effective database design and data flow management, allowing other teams to leverage data for critical business decisions via visualization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programs aimed at continuous learning and professional development, including workshops and certifications to enhance technical expertise and remain competitive within the technology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