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software architecture, cloud-native solutions, and technical leadership, particularly in AWS and FinOps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NoSQL,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Serverless,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Amazon DynamoDB, MySQL, Elasticsearch, Redis,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 Lakes, ETL, Data Warehousing, BigQuery, Apache Kafka, Airflow,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various systems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operational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multi-tier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bottlenecks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application, employing industry-standard solutions to enhance the efficiency of both front-end and back-end systems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a team of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the company's strategic goals, while ensuring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resource provisioning and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real-time analytics, enhancing decision-making capabilities across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technical designs, facilitating seamless communication and knowledge sharing among team members and stakeholders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senior technical leaders to refine product strategies, ensuring alignment with industry standards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transformation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 and a reduction in overall infrastructure costs and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mentored architectural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interoperability of various software components and systems within the organizational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environment, effectively communicating complex technical concepts to non-technical stakeholders, thereby enhancing cross-departmental project understanding and cooperation.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delivery (CI/CD) principles, significantly improving deployment frequencies and the recovery times of production systems and enhancing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conducted proof-of-concept projects, providing recommendations for technology adoption to improve product offerings and internal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existing software to incorporate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expenditure and resource allocation across various departments for more effective financial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as part of a cross-functional team, focusing on delivering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with diverse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user-centric web solutions that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to explore new capabilities and integrations that enhanced the existing software ecosystem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increased product reliability and reduced bug rates in production environments, fostering a mindset of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business intelligence requirements through intuitive and informative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APIs that enabled seamless integration between applications, facilitating data interchange and enhancing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design teams to rapidly prototype new features and gather feedback for iterative improvement in the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rigorous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collaboration and code management across diverse teams, while minimizing conflicts and ensuring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systems, optimizing queries and performance for improved response times, ensuring data integrity and availability to all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engagements by presenting technical insights and updates on project milestones, ensuring stakeholders remained informed and aligned with ongoing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new application features that enhanced user engagement, utilizing user feedback to drive meaningful changes and improvements in software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processes meticulously, promoting transparency and knowledge sharing within the team, which facilitated onboarding and continuous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