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specializing in data engineering, cloud solutions, and cybersecurity applications. Proven track record in building scalable solutions and leading cross-functional teams to deliver high-impact projects with proven methodologies in various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Pandas, NumPy,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Technologies:</w:t>
      </w:r>
      <w:r w:rsidRPr="00745DD3">
        <w:rPr>
          <w:rFonts w:ascii="Roboto Light" w:eastAsia="Roboto Light" w:hAnsi="Roboto Light" w:cs="Roboto Light"/>
          <w:color w:val="404040" w:themeColor="text1" w:themeTint="BF"/>
          <w:sz w:val="20"/>
          <w:szCs w:val="20"/>
        </w:rPr>
        <w:t xml:space="preserve"> AWS, Azure, Google Cloud Platform, ETL, Data Lakes,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Neo4j, ElasticSearch, AWS Neptune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&amp; Event Streaming:</w:t>
      </w:r>
      <w:r w:rsidRPr="00745DD3">
        <w:rPr>
          <w:rFonts w:ascii="Roboto Light" w:eastAsia="Roboto Light" w:hAnsi="Roboto Light" w:cs="Roboto Light"/>
          <w:color w:val="404040" w:themeColor="text1" w:themeTint="BF"/>
          <w:sz w:val="20"/>
          <w:szCs w:val="20"/>
        </w:rPr>
        <w:t xml:space="preserve"> Kafka, RabbitMQ, Redis, Apache Pulsar, AWS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Docker, Kubernetes,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integration and transformation to enhance business intelligence and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efficient access to analytical insights derived from the </w:t>
      </w:r>
      <w:r w:rsidRPr="00745DD3">
        <w:rPr>
          <w:rFonts w:ascii="Roboto Light" w:eastAsia="Roboto Light" w:hAnsi="Roboto Light" w:cs="Roboto Light"/>
          <w:b/>
          <w:bCs/>
          <w:color w:val="404040" w:themeColor="text1" w:themeTint="BF"/>
          <w:sz w:val="20"/>
          <w:szCs w:val="20"/>
        </w:rPr>
        <w:t xml:space="preserve">Security Intelligence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utilization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stakeholders to identify key technical solutions, leading to improved data convergence within the </w:t>
      </w:r>
      <w:r w:rsidRPr="00745DD3">
        <w:rPr>
          <w:rFonts w:ascii="Roboto Light" w:eastAsia="Roboto Light" w:hAnsi="Roboto Light" w:cs="Roboto Light"/>
          <w:b/>
          <w:bCs/>
          <w:color w:val="404040" w:themeColor="text1" w:themeTint="BF"/>
          <w:sz w:val="20"/>
          <w:szCs w:val="20"/>
        </w:rPr>
        <w:t xml:space="preserve">defender 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Security Intelligence Graph.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monitor and maintain high-availability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ensuring robust data storage and retrieval processes to support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draw insightful conclusions from threat data, informing strategic plans for risk mitigation across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production-grade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into unified models, thereby enhancing the speed and accuracy of data-driven insights for critical security projects evolved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deployment of tools that enable better access to data, driving productivity through enhanced analytics and metrics within development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execution of multiple cross-functional projects, presenting technical plans and updates to stakeholders and leading to collaborative approaches and greater business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continuous learning within the team, facilitating skill-sharing sessions and promoting professional growth by leveraging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compliance under institutional policies, leveraging tools that empower secure, efficient data usage throughout the organizational landscape for multi-national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reliability and scalability of data systems through rigorous testing and monitoring frameworks,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logging solutions to swiftly address issues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leaders across various geographies and divisions to align technology solutions with business requirements while continuously enhancing communication strategies for remote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managing project workflows, resulting in improved responsiveness to changing project needs and stakeholder feedback ensuring timely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leveraging experience in </w:t>
      </w:r>
      <w:r w:rsidRPr="00745DD3">
        <w:rPr>
          <w:rFonts w:ascii="Roboto Light" w:eastAsia="Roboto Light" w:hAnsi="Roboto Light" w:cs="Roboto Light"/>
          <w:b/>
          <w:bCs/>
          <w:color w:val="404040" w:themeColor="text1" w:themeTint="BF"/>
          <w:sz w:val="20"/>
          <w:szCs w:val="20"/>
        </w:rPr>
        <w:t xml:space="preserve">cyber 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and contribute to proactive risk management initiatives for customers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enhance team knowledge and onboarding processes, focusing on fostering an environment conducive to collaborative problem-solving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frameworks, ensuring scalability and robust functionality aligned with user needs and enterprise goals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extensive in-house </w:t>
      </w:r>
      <w:r w:rsidRPr="00745DD3">
        <w:rPr>
          <w:rFonts w:ascii="Roboto Light" w:eastAsia="Roboto Light" w:hAnsi="Roboto Light" w:cs="Roboto Light"/>
          <w:b/>
          <w:bCs/>
          <w:color w:val="404040" w:themeColor="text1" w:themeTint="BF"/>
          <w:sz w:val="20"/>
          <w:szCs w:val="20"/>
        </w:rPr>
        <w:t xml:space="preserve">data analytics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and insightful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implemented, and maintained multiple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analysis and reporting for different teams, improving overall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automated testing suites using industry best practices to ensure software quality and reliability, which drastically reduced manual testing efforts and improved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enhance application aesthetics and user interaction, leading to increased customer satisfaction metrics and improved application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to streamline software delivery processes, facilitating daily scrums and sprint retrospectives for ongoing project improvements and adaptations.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solutions to complex data processing challenges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providing seamless integration of data across various platforms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usage patterns and system performance metrics to inform decisions related to system optimizations and resource allocation, directly influencing cost-reduction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real-time solutions for data monitoring and analytics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immediate insights for operational teams, thus shortening response times to system alerts and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standards necessary for protecting sensitive data, collaborating closely with security teams to mitigate risks associated with datasets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 and promoting knowledge sharing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channels between engineering, data science, and product teams, ensuring that insights and requirements were shared efficiently through documentation and collaborative meetings, boosting project alignments.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