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Principal Data Architect with over 11 years in software development, specializing in data architecture and cloud-native solutions. Proven expertise in AWS, data lakes, and advanced analytical platforms such as Snowflake and Dremio. Exceptional leader skilled in guiding technical teams, shaping enterprise strategies, and implementing innovative data solutions to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CloudFormation, AWS CDK, AWS Lake Formation, AWS Glue, AWS S3, AWS Well-Architected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xml:space="preserve"> Snowflake, Dremio, Delta Lake, Apache Iceberg, Data Mesh, Lakehouse,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JavaScript, Bash, SQL, Java, Scala,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Serverless Architecture, Event-Driven Architecture, Data Governance, Infrastructure as Code, Microservices, Data Pipeline Design,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Terraform, Kubernetes, Apache Kafka, docker, Apache Spark, Git,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vision and execution of the enterprise data architecture roadmap, aligning with business objectives while implementing innovative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patterns across organizational projects, driving strategic data initiatives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design and implementation of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lakes leveraging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Lake 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accessibility and usability for analytics and downstream applications across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expertise in </w:t>
      </w:r>
      <w:r w:rsidRPr="00745DD3">
        <w:rPr>
          <w:rFonts w:ascii="Roboto Light" w:eastAsia="Roboto Light" w:hAnsi="Roboto Light" w:cs="Roboto Light"/>
          <w:b/>
          <w:bCs/>
          <w:color w:val="404040" w:themeColor="text1" w:themeTint="BF"/>
          <w:sz w:val="20"/>
          <w:szCs w:val="20"/>
        </w:rPr>
        <w:t xml:space="preserve">data lake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Zero 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mentoring senior architects to adopt </w:t>
      </w:r>
      <w:r w:rsidRPr="00745DD3">
        <w:rPr>
          <w:rFonts w:ascii="Roboto Light" w:eastAsia="Roboto Light" w:hAnsi="Roboto Light" w:cs="Roboto Light"/>
          <w:b/>
          <w:bCs/>
          <w:color w:val="404040" w:themeColor="text1" w:themeTint="BF"/>
          <w:sz w:val="20"/>
          <w:szCs w:val="20"/>
        </w:rPr>
        <w:t xml:space="preserve">data mesh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promote best practices in data utilization and governance, improving overall data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enterprise standards for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metadata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lineage and observability across platforms which streamlined regulatory compliance and enhanced cross-functional data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initiatives to collaborate on technical strategies with engineering and product teams, steering platform decisions toward successful support of </w:t>
      </w:r>
      <w:r w:rsidRPr="00745DD3">
        <w:rPr>
          <w:rFonts w:ascii="Roboto Light" w:eastAsia="Roboto Light" w:hAnsi="Roboto Light" w:cs="Roboto Light"/>
          <w:b/>
          <w:bCs/>
          <w:color w:val="404040" w:themeColor="text1" w:themeTint="BF"/>
          <w:sz w:val="20"/>
          <w:szCs w:val="20"/>
        </w:rPr>
        <w:t xml:space="preserve">ML/AI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within real-time data analytics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architectural direction through strategic presentation of proposals to senior executives and governance boards, successfully gaining buy-in for innovative data strategies aligned with corporate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evaluation and proof of concept for emerging technologies such as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internal architecture documentation and enhancing community knowledge-sharing initiatives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insightful architecture papers that outlined best practices and emerging trends in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sharing sessions that fostered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decisions on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and scalability in our deployments while reducing deployment times and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overseeing disaster recovery plans and security strategies for enterprise data platforms, ensuring alignment with compliance requirements and maintaining enterprise data integrity and security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w:t>
      </w:r>
      <w:r w:rsidRPr="00745DD3">
        <w:rPr>
          <w:rFonts w:ascii="Roboto Light" w:eastAsia="Roboto Light" w:hAnsi="Roboto Light" w:cs="Roboto Light"/>
          <w:b/>
          <w:bCs/>
          <w:color w:val="404040" w:themeColor="text1" w:themeTint="BF"/>
          <w:sz w:val="20"/>
          <w:szCs w:val="20"/>
        </w:rPr>
        <w:t xml:space="preserve">cloud-first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high availability and fault tolerance while delivering comprehensive training sessions to architects on key technological frameworks and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architects, fostering their technical growth while implementing best practices across projects, which cultivated a robust architectural discipline and consistency in solutions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monitoring data pipelines and applications, enhancing real-time insights and performance metrics, which improved overall system robustness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collaborative workshops aimed at educating stakeholders 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aligning technology use with business strategies and enhancing stakeholder engagement in technical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third-party solutions and partnerships to improve overall architectural capabilities, introducing innovative tools and methodologies that enhanced core data functionalities and extended service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key components of enterprise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integration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environments, which significantly improved overall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enhanced productivity by streamlining the development cycle and reducing deployment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to optimize relational database structures for high traffic applications, resulting in improved query performance and reduced latency in customer-facing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align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improved development standards, which significantly elevated application quality and team cohesion during project execution gatherings.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foster efficient data retrieval and manipulation strategies, enhancing data-driven decision-making processes through optimized backend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and web services, enabling smooth integration with multiple platforms and efficient communication across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software development and collaborating on code changes, ensuring effective code management and team collaboration at multiple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applications, which led to an increase in processing speed and a noticeable reduction in operational costs associated with cloud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the team, conducting training sessions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development, which enhanced skill sets across new engineers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services and systems that ensured transparency within the engineering team, aiding onboarding processes and aligning team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ensure robust testing procedures were followed, significantly enhancing the user experience and minimizing defects in production releases through systematic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industry trends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integrating innovative solutions into project roadmaps to drive company vision and strategy.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