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Data-driven leader with over 11 years of experience in clinical data management and software development, specializing in web and mobile applications. Proven ability to deliver high-quality clinical data solutions while ensuring compliance with regulatory standards and optimizing analytics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SAS, SQL, JavaScript, C#,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Tableau, Spotfire, Excel, Domo,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SciPy, NumPy, Django, Flask,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and Compliance:</w:t>
      </w:r>
      <w:r w:rsidRPr="00745DD3">
        <w:rPr>
          <w:rFonts w:ascii="Roboto Light" w:eastAsia="Roboto Light" w:hAnsi="Roboto Light" w:cs="Roboto Light"/>
          <w:color w:val="404040" w:themeColor="text1" w:themeTint="BF"/>
          <w:sz w:val="20"/>
          <w:szCs w:val="20"/>
        </w:rPr>
        <w:t xml:space="preserve"> ALCOA++, ICH-GCP, HPC, Data Integrity, Audit Compliance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CI/CD:</w:t>
      </w:r>
      <w:r w:rsidRPr="00745DD3">
        <w:rPr>
          <w:rFonts w:ascii="Roboto Light" w:eastAsia="Roboto Light" w:hAnsi="Roboto Light" w:cs="Roboto Light"/>
          <w:color w:val="404040" w:themeColor="text1" w:themeTint="BF"/>
          <w:sz w:val="20"/>
          <w:szCs w:val="20"/>
        </w:rPr>
        <w:t xml:space="preserve">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w:t>
      </w:r>
      <w:r w:rsidRPr="00745DD3">
        <w:rPr>
          <w:rFonts w:ascii="Roboto Light" w:eastAsia="Roboto Light" w:hAnsi="Roboto Light" w:cs="Roboto Light"/>
          <w:color w:val="404040" w:themeColor="text1" w:themeTint="BF"/>
          <w:sz w:val="20"/>
          <w:szCs w:val="20"/>
        </w:rPr>
        <w:t xml:space="preserve"> RegEx, ML Models, Statistical Analysis, Data Visualization,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w:t>
      </w:r>
      <w:r w:rsidRPr="00745DD3">
        <w:rPr>
          <w:rFonts w:ascii="Roboto Light" w:eastAsia="Roboto Light" w:hAnsi="Roboto Light" w:cs="Roboto Light"/>
          <w:b/>
          <w:bCs/>
          <w:color w:val="404040" w:themeColor="text1" w:themeTint="BF"/>
          <w:sz w:val="20"/>
          <w:szCs w:val="20"/>
        </w:rPr>
        <w:t xml:space="preserve">clinical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collection, ensuring high-quality oversight across various clinical studies, enhancing compliance with sponsor expectations, regulatory requirements, and aligning with established study timelines in the life sciences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drive data quality initiatives, implemented risk mitigation strategies, and leveraged </w:t>
      </w:r>
      <w:r w:rsidRPr="00745DD3">
        <w:rPr>
          <w:rFonts w:ascii="Roboto Light" w:eastAsia="Roboto Light" w:hAnsi="Roboto Light" w:cs="Roboto Light"/>
          <w:b/>
          <w:bCs/>
          <w:color w:val="404040" w:themeColor="text1" w:themeTint="BF"/>
          <w:sz w:val="20"/>
          <w:szCs w:val="20"/>
        </w:rPr>
        <w:t xml:space="preserve">advanced analytical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issues impacting clinical trials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Clinical Data Acquisition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 </w:t>
      </w:r>
      <w:r w:rsidRPr="00745DD3">
        <w:rPr>
          <w:rFonts w:ascii="Roboto Light" w:eastAsia="Roboto Light" w:hAnsi="Roboto Light" w:cs="Roboto Light"/>
          <w:b/>
          <w:bCs/>
          <w:color w:val="404040" w:themeColor="text1" w:themeTint="BF"/>
          <w:sz w:val="20"/>
          <w:szCs w:val="20"/>
        </w:rPr>
        <w:t xml:space="preserve">data flow diagrams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seamlessly with study protocols and regulatory obligations, fostering enhanced communication and understanding among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and reported on project progress using </w:t>
      </w:r>
      <w:r w:rsidRPr="00745DD3">
        <w:rPr>
          <w:rFonts w:ascii="Roboto Light" w:eastAsia="Roboto Light" w:hAnsi="Roboto Light" w:cs="Roboto Light"/>
          <w:b/>
          <w:bCs/>
          <w:color w:val="404040" w:themeColor="text1" w:themeTint="BF"/>
          <w:sz w:val="20"/>
          <w:szCs w:val="20"/>
        </w:rPr>
        <w:t xml:space="preserve">status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tracking tools while communicating effectively with internal teams and sponsors to address complex data-related challenges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w:t>
      </w:r>
      <w:r w:rsidRPr="00745DD3">
        <w:rPr>
          <w:rFonts w:ascii="Roboto Light" w:eastAsia="Roboto Light" w:hAnsi="Roboto Light" w:cs="Roboto Light"/>
          <w:b/>
          <w:bCs/>
          <w:color w:val="404040" w:themeColor="text1" w:themeTint="BF"/>
          <w:sz w:val="20"/>
          <w:szCs w:val="20"/>
        </w:rPr>
        <w:t xml:space="preserve">analytic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clinical data to identify root causes of issues, suggesting systematic resolutions that significantly improved overall protocol compliance and trial reliability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analytical 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review processes, significantly improving the team's ability to uncover potentially unreliable data for corrective actions to be taken.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systematic evaluations of emerging technologies while assessing their relevance and applicability, integrating viable solutions into existing frameworks to elevate the company’s operational capability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mentored, and led junior team members in best practices for </w:t>
      </w:r>
      <w:r w:rsidRPr="00745DD3">
        <w:rPr>
          <w:rFonts w:ascii="Roboto Light" w:eastAsia="Roboto Light" w:hAnsi="Roboto Light" w:cs="Roboto Light"/>
          <w:b/>
          <w:bCs/>
          <w:color w:val="404040" w:themeColor="text1" w:themeTint="BF"/>
          <w:sz w:val="20"/>
          <w:szCs w:val="20"/>
        </w:rPr>
        <w:t xml:space="preserve">clinical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their professional growth while ensuring a cohesive and knowledgeable team environment in a highly competitive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aimed at ensuring thoroughness and compliance with both </w:t>
      </w:r>
      <w:r w:rsidRPr="00745DD3">
        <w:rPr>
          <w:rFonts w:ascii="Roboto Light" w:eastAsia="Roboto Light" w:hAnsi="Roboto Light" w:cs="Roboto Light"/>
          <w:b/>
          <w:bCs/>
          <w:color w:val="404040" w:themeColor="text1" w:themeTint="BF"/>
          <w:sz w:val="20"/>
          <w:szCs w:val="20"/>
        </w:rPr>
        <w:t xml:space="preserve">SOP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Trial Master File (TMF)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promoting continuity and accountability 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internal and external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requisite documentation that supports the audit process while fostering a culture of transparency and integrity within the department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external partners, vendors, and investigators to promote new business opportunities while strategically positioning the organization as a front-runner in the life sciences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pivotal input into proposals, bid defenses, and RFP responses by applying deep therapeutic area knowledge that aligns clinical data science capabilities with client objectives, ultimately driving competitive positioning in the marketplace.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risks associated with protocol designs and implemented contingency strategies that effectively minimized the potential impact on data credibility and overall project success across numerous clinical trials.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analyzed performance metrics in line with continuous improvement initiatives, leveraging stakeholder feedback and data insights to refine processes and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pivotal industry conferences and workshops, presenting insights and findings that elevate the organization’s profile and promote collaborative opportunities within the clinical data science domain.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and optimize complex queries across large datasets, enhancing data retrieval efficiency for various projects within the framework of </w:t>
      </w:r>
      <w:r w:rsidRPr="00745DD3">
        <w:rPr>
          <w:rFonts w:ascii="Roboto Light" w:eastAsia="Roboto Light" w:hAnsi="Roboto Light" w:cs="Roboto Light"/>
          <w:b/>
          <w:bCs/>
          <w:color w:val="404040" w:themeColor="text1" w:themeTint="BF"/>
          <w:sz w:val="20"/>
          <w:szCs w:val="20"/>
        </w:rPr>
        <w:t xml:space="preserve">clinical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multidisciplinary teams to gather requirements and collaborate on the development of impactful data management solutions, ensuring alignment with project goals and regulatory standards throughout.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data collection strategies, refining existing protocols based on detailed protocol interpretations and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they meet both quality and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techniques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Spotfire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exploratory data analysis phases to communicate findings and insights to stakeholders effectively and facilitate informed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w:t>
      </w:r>
      <w:r w:rsidRPr="00745DD3">
        <w:rPr>
          <w:rFonts w:ascii="Roboto Light" w:eastAsia="Roboto Light" w:hAnsi="Roboto Light" w:cs="Roboto Light"/>
          <w:b/>
          <w:bCs/>
          <w:color w:val="404040" w:themeColor="text1" w:themeTint="BF"/>
          <w:sz w:val="20"/>
          <w:szCs w:val="20"/>
        </w:rPr>
        <w:t xml:space="preserve">data management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innovative technology solutions and machine learning models to address emerging industry challenges in </w:t>
      </w:r>
      <w:r w:rsidRPr="00745DD3">
        <w:rPr>
          <w:rFonts w:ascii="Roboto Light" w:eastAsia="Roboto Light" w:hAnsi="Roboto Light" w:cs="Roboto Light"/>
          <w:b/>
          <w:bCs/>
          <w:color w:val="404040" w:themeColor="text1" w:themeTint="BF"/>
          <w:sz w:val="20"/>
          <w:szCs w:val="20"/>
        </w:rPr>
        <w:t xml:space="preserve">clinical 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point of contact for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timelines and resources effectively to ensure all clinical data milestones were promptly achieved in compliance with contractual obligations.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enhance team capabilities in essential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tools, securing a high-level understanding of industry standards among peers and junior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management processes, enabling real-time data access and enhanced collaboration across distributed teams while maintaining security and compliance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standard operating procedures for data management based on industry best practices, which improved workflow efficiency and significantly reduced data discrepancies across clinical trials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optimize data storage solutions, ensuring seamless access and retrieval of clinical data while maintaining strict compliance with regulatory requirements and data confidentiality.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programming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cleaning tasks, significantly reducing the time needed for data preparation and increasing accuracy in the resultant datasets used for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design and development of web-based applications to facilitate real-time monitoring of clinical data processes, greatly improving data transparency and stakeholder access to critical information.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