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specializing in web and mobile applications. Demonstrated expertise in cloud-native architectures, AI infrastructures, and high-performance computing environments. Adept at driving architectural strategy and aligning cross-functional teams to innovate and support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R, Java, C++, JavaScript,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Cloud, Digital 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Istio, Argo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H2O.ai, Dask,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CUDA, Hadoop, Spark, Slurm, HTCondor, Airflow, Nextflow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Prometheus, Grafana, ELK Stack, Confluence,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blueprint of a next-generation, AI-powered computing platform, focusing on modularity and scalability, ensuring that the underlying infrastructure supports advanced modeling and ML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complex requirements into comprehensive infrastructure strategies that prioritize reliability and ease of maintainability, adapting to evolving business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resilient and fault-tolerant infrastructure design tailored specifically for demanding environments, ensuring platform services maintain stability and support at large scales across various applications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cohesive environment that enhances performance and security, while driving practices that streamline deployment processes and operational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 and provided advisory support on systems-level challenges, emphasizing coherent architectural solutions that enhance user experience and align with regulatory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tools that optimize long-term platform capabilities, focusing on the deployment of cutting-edge solutions that leverage current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assessments and sustainability analyses for proposed architectures, ensuring decisions reflect the potential cost implications and operational resilience necessary for continued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security and observability measures within the platform architecture, mitigating risks while embedding operational controls from the project onset, crucial for maintaining integrity in sensitive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infrastructure to support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aspects of model training, deployment, and real-time inference capabilities while ensuring compliance with GxP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improve understanding of trade-offs in design decisions, allowing teams to optimize user experience while adhering to the architectural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business development activities where platform architecture served as a differentiator, effectively communicating technical perspectives to clients and stakeholders to bolster confidence in our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workload orchestration strategies that balanced performance demands with operational efficiency, streamlining processes that allow the platform to meet dynamic customer needs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through collaborative problem-solving, ensuring that all technical solutions align with product vision and meet rigorous customer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engineering staff, imparting knowledge on best practices in high-performance architecture and contributing to the growth of the team’s overall technical proficiency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trends, regularly updating architectural practices to address novel challenges and ensure alignment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that enhanced system performance and efficiency in regulated environments, focusing on high availability and operational excellence across multiple product lines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engineer innovative tools and services, focusing on building reliable systems that leveraged enterprise architectures while complying with strict regulatory frameworks and operational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develop robust backend solutions, ensuring seamless integration with existing infrastructures and facilitating efficient user interaction and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system analyses that identified key opportunities for enhancements, covering aspects such as resilience and maintainability, which were crucial for supporting complex, high-scale computing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involved transitioning legacy systems to cloud-native infrastructures, successfully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scalability and reduce operational burdens on IT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tools that enabled the automation of workflows and processes, thereby reducing manual interventions and enhancing the reliability of deployments and operational deliverables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architectural specifications that provided clarity and guidance for development processes, ensuring that all engineering solutions adhered closely to established best practices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fostered knowledge-sharing within engineering teams, promoting collaborative solutions and stimulating advancements in system architecture and functionality that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applications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integrating solutions that empowered the organization to harness data-driven insights effectively, which significantly improved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troubleshooting and resolution of complex issues, providing critical support that preserved system integrity and ensured continued operational functionality across multiple internal and external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partners and vendors to successfully evaluate and integrate emerging technologies that complemented existing capabilities, fostering an environment of innovation and continuous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 that promoted best practices in coding standards and architectural frameworks, instilling a culture of quality and excellence in software delivery throughout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