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Legal Professional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paralegal with over 11 years of extensive experience in legal support within technology-focused environments. Demonstrated expertise in contract drafting, compliance initiatives, and corporate governance, specifically within decentralized finance and digital asset regulations. Proven ability to manage multiple legal projects in high-paced settings, collaborating efficiently with cross-functional teams and external counsel to drive impactful legal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Contract Drafting, Legal Research, Corporate Governance, Compliance Initiatives, Policy Drafting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Notion, Slack, GitHub, Linear,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DocuSign, Adobe Acrobat, Microsoft Office Suite, SharePoint, Evernote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Securities Law, Data Privacy Compliance, Anti-Money Laundering, Intellectual Property Law, Consumer Protection Law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LexisNexis, Westlaw, ComplianceXpert, Microsoft Excel,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Legal Professional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Drafted, reviewed, and revised a diverse array of contracts such as NDAs and service agreements, ensuring compliance with legal standards while collaborating with legal counsel for strategic input on terms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legal liaison across departments like Operations and Finance, effectively addressing daily legal and compliance needs while enhancing intra-departmental communication for streamlined processes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external counsel pertaining to complex matters such as corporate structuring and tax strategies, gaining insights to support informed decision-making and policy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legal research to support compliance documentation and policy drafts that align with industry standards while ensuring the organization meets the evolving landscape of digital asset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corporate governance by drafting resolutions and preparing meeting materials for Board sessions, contributing to a robust governance framework that upholds organizational accountability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administrative support tasks for the Chief Legal Officer, including efficient travel and schedule management, enabling seamless focus on high-level strategic legal matters.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attention to detail and organizational skills by managing simultaneous legal projects in a dynamic startup environment, adapting to changing priorities as necessary to meet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compliance training workshops for staff across all departments, promoting legal awareness and understanding of regulatory obligations associated with digital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refinement of internal compliance policies, ensuring they reflect current legal requirements and industry best practices essential for operational integrity in the DeFi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provide proactive legal advice, identifying potential risks and offering solutions to mitigate them effectively and fostering a culture of compliance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point of contact for legal inquiries from various departments, effectively resolving issues and clarifying legal concepts to enhance understanding of compliance responsibilities among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developments in decentralized finance law and regulations, ensuring that legal strategies are forward-moving and keep pace with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document management system for legal resources, optimizing access to crucial legal materials for the legal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drafting policy initiatives concerning digital assets that comply with emerging regulations, keeping the organization ahead of trends through thorough legal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internal memos summarizing legal findings, contributing vital information for strategic decision-making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drafting contracts, NDAs, and service agreements while collaborating with attorneys to ensure legal robustness and compliance, leading to a respected level of trust across various departments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multi-faceted legal research projects contributing to high-stakes regulatory compliance inquiries, utilizing tools like LexisNexis and Westlaw to deliver accurate legal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corporate governance framework by drafting board resolutions and meeting materials which facilitated transparent and effective governance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an administrative backbone for the legal team, effectively coordinating with external counsel while managing schedules and communications to uphold organizational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implementing compliance programs aimed at adhering to regulatory standards, fostering a culture of accountability and integrity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legal training programs for internal staff to deepen understanding of compliance obligations, enhancing the aptitude of employees to navigate regulatory landscapes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tracked legislative changes and regulatory updates which impact corporate operations, ensuring that the creative adjustments needed to business practices were promptly communicated and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the legal department and operational teams to clarify legal protocols and procedures, fostering an environment of collaborative support and shared goals across factions of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compliance documentation including internal policy guides that align with best practices and regulatory standards, solidifying operational integrity within the organization and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internal policies in reflection of shifting legal environments, ensuring that all compliance measures were current and effectively communicated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with external stakeholders regarding corporate strategy, tax implications, and compliance frameworks, providing legal insight that bolstered executive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structured database of contracts and compliance documents, streamlining access to vital legal resources while promoting more efficient legal processing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