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PACS Implementation Specialist with over 11 years of experience in software development, specializing in web and mobile applications for healthcare informatics. Proficient in advanced PACS, RIS deployment, and systems integration, focusing on enhancing clinical workflows and data standards. Strong collaborator with a proven ability to translate complex clinical needs into actionable technical solutions, consistently ensuring interoperability and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Bash,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PACS &amp; Imaging Technology:</w:t>
      </w:r>
      <w:r w:rsidRPr="00745DD3">
        <w:rPr>
          <w:rFonts w:ascii="Roboto Light" w:eastAsia="Roboto Light" w:hAnsi="Roboto Light" w:cs="Roboto Light"/>
          <w:color w:val="404040" w:themeColor="text1" w:themeTint="BF"/>
          <w:sz w:val="20"/>
          <w:szCs w:val="20"/>
        </w:rPr>
        <w:t xml:space="preserve"> DICOM, HL7, RIS, EMR, Sectra, Intellerad, Philips, Fuji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Development Tools:</w:t>
      </w:r>
      <w:r w:rsidRPr="00745DD3">
        <w:rPr>
          <w:rFonts w:ascii="Roboto Light" w:eastAsia="Roboto Light" w:hAnsi="Roboto Light" w:cs="Roboto Light"/>
          <w:color w:val="404040" w:themeColor="text1" w:themeTint="BF"/>
          <w:sz w:val="20"/>
          <w:szCs w:val="20"/>
        </w:rPr>
        <w:t xml:space="preserve"> Mirth Connect, Rhapsody, Docker, Kubernetes, AWS, Google Cloud, Azure,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AI Tools, NVIDIA Clara, MONAI Deploy, Machine Learning, Natural Language Processing, Deep Learning, Computer Vision,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Clinical &amp; Data Standards:</w:t>
      </w:r>
      <w:r w:rsidRPr="00745DD3">
        <w:rPr>
          <w:rFonts w:ascii="Roboto Light" w:eastAsia="Roboto Light" w:hAnsi="Roboto Light" w:cs="Roboto Light"/>
          <w:color w:val="404040" w:themeColor="text1" w:themeTint="BF"/>
          <w:sz w:val="20"/>
          <w:szCs w:val="20"/>
        </w:rPr>
        <w:t xml:space="preserve"> HIPAA, IHE, FHIR, XDS, Rest API, Clinical Workflows, Interoperability Standards, Teleradiology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imaging workflow solutions across a network of clinics, enhancing diagnostics speed and accuracy while ensuring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technical integration efforts with a focus on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facilitating seamless communication between imaging devices, application frameworks, and data archives to optimize patient information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interfaces, scripts, and middleware for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compatibility with various </w:t>
      </w:r>
      <w:r w:rsidRPr="00745DD3">
        <w:rPr>
          <w:rFonts w:ascii="Roboto Light" w:eastAsia="Roboto Light" w:hAnsi="Roboto Light" w:cs="Roboto Light"/>
          <w:b/>
          <w:bCs/>
          <w:color w:val="404040" w:themeColor="text1" w:themeTint="BF"/>
          <w:sz w:val="20"/>
          <w:szCs w:val="20"/>
        </w:rPr>
        <w:t xml:space="preserve">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streamlining operational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image post-processing workflows using both in-house and third-party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successfully increasing efficiency and ensuring consistent image quality across all modalities.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clinical requirements into precise technical specifications and system architectures, collaborating closely with </w:t>
      </w:r>
      <w:r w:rsidRPr="00745DD3">
        <w:rPr>
          <w:rFonts w:ascii="Roboto Light" w:eastAsia="Roboto Light" w:hAnsi="Roboto Light" w:cs="Roboto Light"/>
          <w:b/>
          <w:bCs/>
          <w:color w:val="404040" w:themeColor="text1" w:themeTint="BF"/>
          <w:sz w:val="20"/>
          <w:szCs w:val="20"/>
        </w:rPr>
        <w:t xml:space="preserve">radiologists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deliver tailored solutions that enhance imaging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advanced troubleshooting support for complex imaging IT issues, focusing on </w:t>
      </w:r>
      <w:r w:rsidRPr="00745DD3">
        <w:rPr>
          <w:rFonts w:ascii="Roboto Light" w:eastAsia="Roboto Light" w:hAnsi="Roboto Light" w:cs="Roboto Light"/>
          <w:b/>
          <w:bCs/>
          <w:color w:val="404040" w:themeColor="text1" w:themeTint="BF"/>
          <w:sz w:val="20"/>
          <w:szCs w:val="20"/>
        </w:rPr>
        <w:t xml:space="preserve">image routing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and configuring </w:t>
      </w:r>
      <w:r w:rsidRPr="00745DD3">
        <w:rPr>
          <w:rFonts w:ascii="Roboto Light" w:eastAsia="Roboto Light" w:hAnsi="Roboto Light" w:cs="Roboto Light"/>
          <w:b/>
          <w:bCs/>
          <w:color w:val="404040" w:themeColor="text1" w:themeTint="BF"/>
          <w:sz w:val="20"/>
          <w:szCs w:val="20"/>
        </w:rPr>
        <w:t xml:space="preserve">storage/archive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into existing systems, particularly analyzing advancements in </w:t>
      </w:r>
      <w:r w:rsidRPr="00745DD3">
        <w:rPr>
          <w:rFonts w:ascii="Roboto Light" w:eastAsia="Roboto Light" w:hAnsi="Roboto Light" w:cs="Roboto Light"/>
          <w:b/>
          <w:bCs/>
          <w:color w:val="404040" w:themeColor="text1" w:themeTint="BF"/>
          <w:sz w:val="20"/>
          <w:szCs w:val="20"/>
        </w:rPr>
        <w:t xml:space="preserve">cloud-based imaging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strategic planning for future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audits and compliance assessments related to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interoperability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cross-functional teams, fostering strong collaborations with clinical leadership to ensure successful system deployments and ongoing performance management during complete </w:t>
      </w:r>
      <w:r w:rsidRPr="00745DD3">
        <w:rPr>
          <w:rFonts w:ascii="Roboto Light" w:eastAsia="Roboto Light" w:hAnsi="Roboto Light" w:cs="Roboto Light"/>
          <w:b/>
          <w:bCs/>
          <w:color w:val="404040" w:themeColor="text1" w:themeTint="BF"/>
          <w:sz w:val="20"/>
          <w:szCs w:val="20"/>
        </w:rPr>
        <w:t xml:space="preserve">EHR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modernization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strategic workshops to educate clinical staff and stakeholders on the benefits of using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bolstering overall team comprehension of imaging informatics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documentation and training materials for end-users regarding the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improving user engagement and the successful adoption of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management activities by coordinating with multiple stakeholders to maintain alignment on timelines, deliverables, and milestones for integration projects across multiple 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operational reporting processes through the development of dashboards and analytical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visibility into the diagnostic workflow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strategies for the orchestration of </w:t>
      </w:r>
      <w:r w:rsidRPr="00745DD3">
        <w:rPr>
          <w:rFonts w:ascii="Roboto Light" w:eastAsia="Roboto Light" w:hAnsi="Roboto Light" w:cs="Roboto Light"/>
          <w:b/>
          <w:bCs/>
          <w:color w:val="404040" w:themeColor="text1" w:themeTint="BF"/>
          <w:sz w:val="20"/>
          <w:szCs w:val="20"/>
        </w:rPr>
        <w:t xml:space="preserve">AI inference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pre-processing and result handling mechanisms that enhanced overall imaging accuracy and turnaround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consulted on budget allocation for imaging informatics projects, ensuring allocation of resources for ongoing development and necessary infrastructure upgrades.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that integrated with existing clinical systems, driving efficiency and improving data accessibility for healthcare providers while ensuring compliance with both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several facets of the software development lifecycle through proactive collaboration with cross-functional teams, driving the successful completion of integration projects involving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risk assessments for new software features and integrations, ensuring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safeguarding patient information while maintaining high operational integrity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and implement clear technical documentation and user requirements for software projects, creating pathways for effective deployment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technical architecture discussions that shaped the development of scalable solutions on both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and on-premises systems during high-stakes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middleware solutions to facilitate interoperability between disparate healthcare systems, focusing on data flow and connectivity for </w:t>
      </w:r>
      <w:r w:rsidRPr="00745DD3">
        <w:rPr>
          <w:rFonts w:ascii="Roboto Light" w:eastAsia="Roboto Light" w:hAnsi="Roboto Light" w:cs="Roboto Light"/>
          <w:b/>
          <w:bCs/>
          <w:color w:val="404040" w:themeColor="text1" w:themeTint="BF"/>
          <w:sz w:val="20"/>
          <w:szCs w:val="20"/>
        </w:rPr>
        <w:t xml:space="preserve">clinical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knowledge-sharing sessions to support the rollout of newly integrated technologies, enabling healthcare staff to leverage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effectively in their daily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maintenance and optimization of deployed software systems by utilizing external resources and adapting frameworks, ensuring they remained current with technological advancements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engagement with clinical scientists and radiologists to gather detailed requirements, translating these into actionable tasks for the development teams in charge of software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identifying and addressing potential bottlenecks within existing software solutions, leading to increased throughput and performance in imaging-related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communications for numerous projects, effectively articulating technical considerations to non-technical audiences and ensuring alignment across diverse teams during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and problem-solving techniques to swiftly address software and IT infrastructure issues that adversely impacted clinical and operational workflows, demonstrating adaptability and critical thinking.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