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Strong proficiency in Node.js, highly scalable distributed systems, and PostgreSQL performance tuning. Adept at enhancing developer experience through robust APIs and client libraries, with a passion for improving observability using tools like Prometheus and Grafana. Proven ability to own projects end-to-end while fostering collaboration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Rust,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Express, React, Next.js, GraphQL, Koa,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PostgreSQL, MongoDB, Redis, AWS S3,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Infrastructure:</w:t>
      </w:r>
      <w:r w:rsidRPr="00745DD3">
        <w:rPr>
          <w:rFonts w:ascii="Roboto Light" w:eastAsia="Roboto Light" w:hAnsi="Roboto Light" w:cs="Roboto Light"/>
          <w:color w:val="404040" w:themeColor="text1" w:themeTint="BF"/>
          <w:sz w:val="20"/>
          <w:szCs w:val="20"/>
        </w:rPr>
        <w:t xml:space="preserve"> Docker, Kubernetes, AWS, GCP, Terraform, Ansible, OpenTelemetry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Performance:</w:t>
      </w:r>
      <w:r w:rsidRPr="00745DD3">
        <w:rPr>
          <w:rFonts w:ascii="Roboto Light" w:eastAsia="Roboto Light" w:hAnsi="Roboto Light" w:cs="Roboto Light"/>
          <w:color w:val="404040" w:themeColor="text1" w:themeTint="BF"/>
          <w:sz w:val="20"/>
          <w:szCs w:val="20"/>
        </w:rPr>
        <w:t xml:space="preserve"> Prometheus, Grafana, ElasticSearch, New Relic, Datadog, JMeter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upload resilience, enhancing the user experience for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ensuring reliable performance under varying network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developers to design a </w:t>
      </w:r>
      <w:r w:rsidRPr="00745DD3">
        <w:rPr>
          <w:rFonts w:ascii="Roboto Light" w:eastAsia="Roboto Light" w:hAnsi="Roboto Light" w:cs="Roboto Light"/>
          <w:b/>
          <w:bCs/>
          <w:color w:val="404040" w:themeColor="text1" w:themeTint="BF"/>
          <w:sz w:val="20"/>
          <w:szCs w:val="20"/>
        </w:rPr>
        <w:t xml:space="preserve">storage explorer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simplified user interactions, improving content delivery performance by restructuring the APIs for faster data retrieval.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analytics bucket offering that enhanced our </w:t>
      </w:r>
      <w:r w:rsidRPr="00745DD3">
        <w:rPr>
          <w:rFonts w:ascii="Roboto Light" w:eastAsia="Roboto Light" w:hAnsi="Roboto Light" w:cs="Roboto Light"/>
          <w:b/>
          <w:bCs/>
          <w:color w:val="404040" w:themeColor="text1" w:themeTint="BF"/>
          <w:sz w:val="20"/>
          <w:szCs w:val="20"/>
        </w:rPr>
        <w:t xml:space="preserve">object storage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faster delivery times for dynamic websites and improving system observability with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 for efficient retries, which directly resulted in improved upload processing times while maintaining high reliability and availability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for automatic cache invalidation across our edge network, successfully accelerating asset delivery speeds and decreasing latency for users in different geographical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tuning and troubleshooting for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optimal performance of the database layer that supports entire application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across teams by resolving escalated support issues associated with the storage platform and identifying systemic issues that required systemic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OpenTelemetry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service observability, enabling better monitoring of storage service performance and improving log management across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Brought expertise in cloud storage architectures to design efficient file upload/download pipelines, streamlining operations, and ensuring seamless user experiences for developers and end users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dashboards for real-time monitoring of system performance metrics, allowing better insights for the engineering team to proactively troubleshoot potential bottlenecks in the delivery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consistent deployments of our storage services and minimizing downtime for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outline future enhancements for </w:t>
      </w:r>
      <w:r w:rsidRPr="00745DD3">
        <w:rPr>
          <w:rFonts w:ascii="Roboto Light" w:eastAsia="Roboto Light" w:hAnsi="Roboto Light" w:cs="Roboto Light"/>
          <w:b/>
          <w:bCs/>
          <w:color w:val="404040" w:themeColor="text1" w:themeTint="BF"/>
          <w:sz w:val="20"/>
          <w:szCs w:val="20"/>
        </w:rPr>
        <w:t xml:space="preserve">scalable 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always aiming to align with industry best practices to support growth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sharing sessions to promote best practices among engineers, fostering a culture of learning and adaptation in high-scalability environments with constant technical innovation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documentation for our APIs and services, ensuring developers could efficiently interact with our platform and maximize their use of our storage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open source projects related to storage technologies, amplifying community engagement and supporting the long-term sustainability of critical developer tools.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resilient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solutions for various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performance and scalability for large project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microservices architecture, which resulted in more efficient service management and deployment strategies while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optimize APIs for internal tools, emphasizing developer experience and improving the speed at which teams could develop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and querying solutions, focusing on tuning database performance to accommodate high query throughput and data integrity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enhancing the observability of deployed services by integrating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proactive performance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infrastructure-as-code methodologies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enabling reproducibility of environments with minimal setup frustration.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continuous integration and deployment practices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agility within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developer-facing documentation to enhance internal adoption of services built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more collaboration within product teams and enhancing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coding practices and modern software development methodologies, ensuring capable skill growth within the team and stable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bug-resolution techniques across multiple applications, significantly improving user satisfaction scores and partnerships with client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deployed solutions for advanced data analytics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robust insights into application performance and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frameworks for automated testing environments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securing reliable software releases and increasing confidence in deployment cycles.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