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data analysis and clinical data management in the biotech industry. Proven ability to manage data integrity and promote successful collaboration across cross-functional teams, ensuring high-quality data management for regulatory compliance. Skilled in utilizing advanced data analytics tools and clinical data systems to support clinical research studies effectively, driving transformative solutions for genetic diseases.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SAS, Medidata Rave, Oracle Clinical, CDISC, SDTM, IVRS/IWRS, eCOA,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R, Python, SQL, Tableau, Power BI, Jupyter Notebook, MATLAB,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HTML5, CSS3,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Confluence, MS Project, Miro,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xml:space="preserve"> Git, GitHub, Bitbucket, SVN, Docker, Kubernetes,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cross-functional data review meetings, ensuring data integrity while facilitating communication between biostatistics, clinical operations, and data science teams to support ongoing research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and implementation of effective data management plans, which included oversight of the quality and completeness of clinical data documentation from external vendors and in-house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analytics tools to analyze complex datasets, generating actionable insights that improved data quality and highlighted trends critical for clinical study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inspection readiness activities by preparing essential documentation and ensuring compliance with </w:t>
      </w:r>
      <w:r w:rsidRPr="00745DD3">
        <w:rPr>
          <w:rFonts w:ascii="Roboto Light" w:eastAsia="Roboto Light" w:hAnsi="Roboto Light" w:cs="Roboto Light"/>
          <w:b/>
          <w:bCs/>
          <w:color w:val="404040" w:themeColor="text1" w:themeTint="BF"/>
          <w:sz w:val="20"/>
          <w:szCs w:val="20"/>
        </w:rPr>
        <w:t xml:space="preserve">ICH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resulting in successful audits with minimal findings from regulatory authorities and external sponsors.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creation and refinement of clinical data management processes, contributing to continuous improvement initiatives that promoted efficiency across the data management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specialty laboratories and external data providers, ensuring seamless data transfer and adherence to data specifications as outlined within study protocols and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clinical data listings to ensure adherence to protocols, identifying discrepancies and communicating effectively with cross-functional teams to implement data cleaning solutions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data metrics and reports that identified data quality issues, enabling timely intervention strategies and liaising with CROs to maintain study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the electronic data capture system, facilitating knowledge transfer and competency among internal staff, CROs, and site personnel for enhanced study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tracking of known data issues and risks, applying proactive measures to mitigate potential impacts on clinical study timelines and deliveries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review of statistical analysis plans to ensure alignment with data collection methodologies and regulatory requirements, reinforcing the accuracy of clinical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new methodologies for data management, leveraging insights from relevant industry best practices to enhance data usability and compliance across multiple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actively seeking feedback from stakeholders on data management processes and integrating suggestions into practice for optimized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developing solutions for unique patient populations, driving the integration of financial considerations into the clinical data management processes for enhanced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data review plans that facilitated thorough analysis and discussion of study data with cross-functional stakeholders, resulting in streamlined operations and quicker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ensuring seamless integration with backend services and enhancing user engagement and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methodology and Scrum practices, collaborating with cross-functional teams to prioritize and deliver high-impact features while maintaining product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analytical solutions that empowered teams to leverage patient data insights and informed decision-making supporting the development of new therapeutic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exchange between frontend applications and backend databases, contributing to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on best practices in software development, fostering a collaborative environment that encouraged continuous learning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and enhance system consistency across various environments during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establish timelines, and assign responsibilities, leveraging oversight to ensure alignment with strategic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software systems, addressing and resolving bugs while implementing enhancements based on user feedback to improve overall performance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project planning sessions, providing insights based on software engineering best practices and trends in both frontend and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database architectures with a focus on performance optimization and data retrieval efficiency, utilizing relational databases and related technologies to drive research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streamline the development workflow, significantly reducing the time for regression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visual concepts into responsive user interfaces, adhering to industry standards while ensuring a seamless user experience across various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