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Clinical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Clinical Data Scientist with over 11 years of experience in software development and data analytics, specializing in clinical data management and statistical analysis. Proven expertise in leading data review activities and ensuring data integrity and quality. Skilled in leveraging cross-functional teams to drive data cleaning initiatives and improve clinical processes. A strategic thinker with a solid understanding of regulatory requirements, clinical trial processes, and a passion for innovating solutions for patient populations.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Medidata Rave, SAS, SQL,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Clinical Data Standards:</w:t>
      </w:r>
      <w:r w:rsidRPr="00745DD3">
        <w:rPr>
          <w:rFonts w:ascii="Roboto Light" w:eastAsia="Roboto Light" w:hAnsi="Roboto Light" w:cs="Roboto Light"/>
          <w:color w:val="404040" w:themeColor="text1" w:themeTint="BF"/>
          <w:sz w:val="20"/>
          <w:szCs w:val="20"/>
        </w:rPr>
        <w:t xml:space="preserve"> CDISC, SDTM, ICH GCP, Regulatory Compliance, Data Transfer Specifications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Tableau, SPSS, Stata, Excel, Statistical Analysis Software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Asana, Trello, Microsoft Project,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 CSS, 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Clinical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execution of data management activities, ensuring compliance with regulatory guidelines and enhancing data quality through rigorous review processes and effective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 sets, generating actionable insights that informed study design decisions and improved clinical operations across multiple therapeutic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adopt </w:t>
      </w:r>
      <w:r w:rsidRPr="00745DD3">
        <w:rPr>
          <w:rFonts w:ascii="Roboto Light" w:eastAsia="Roboto Light" w:hAnsi="Roboto Light" w:cs="Roboto Light"/>
          <w:b/>
          <w:bCs/>
          <w:color w:val="404040" w:themeColor="text1" w:themeTint="BF"/>
          <w:sz w:val="20"/>
          <w:szCs w:val="20"/>
        </w:rPr>
        <w:t xml:space="preserve">Medidata Rave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capture, which streamlined data management workflows and improved the efficiency of clinical trials by enhancing user engagement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training programs focused on </w:t>
      </w:r>
      <w:r w:rsidRPr="00745DD3">
        <w:rPr>
          <w:rFonts w:ascii="Roboto Light" w:eastAsia="Roboto Light" w:hAnsi="Roboto Light" w:cs="Roboto Light"/>
          <w:b/>
          <w:bCs/>
          <w:color w:val="404040" w:themeColor="text1" w:themeTint="BF"/>
          <w:sz w:val="20"/>
          <w:szCs w:val="20"/>
        </w:rPr>
        <w:t xml:space="preserve">Electronic Data Capture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team members were proficient in managing clinical data and following established protocols diligently.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quality assessments and collaborated with stakeholders to address inconsistencies, leveraging advanced analytical tools to identify trends and producing high-quality documentation that met auditing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regulatory inspections, providing comprehensive data reports, maintaining compliance with </w:t>
      </w:r>
      <w:r w:rsidRPr="00745DD3">
        <w:rPr>
          <w:rFonts w:ascii="Roboto Light" w:eastAsia="Roboto Light" w:hAnsi="Roboto Light" w:cs="Roboto Light"/>
          <w:b/>
          <w:bCs/>
          <w:color w:val="404040" w:themeColor="text1" w:themeTint="BF"/>
          <w:sz w:val="20"/>
          <w:szCs w:val="20"/>
        </w:rPr>
        <w:t xml:space="preserve">ICH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demonstrating an in-depth understanding of clinical trial requirements and data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external vendors to facilitate data transfers, ensuring alignment with </w:t>
      </w:r>
      <w:r w:rsidRPr="00745DD3">
        <w:rPr>
          <w:rFonts w:ascii="Roboto Light" w:eastAsia="Roboto Light" w:hAnsi="Roboto Light" w:cs="Roboto Light"/>
          <w:b/>
          <w:bCs/>
          <w:color w:val="404040" w:themeColor="text1" w:themeTint="BF"/>
          <w:sz w:val="20"/>
          <w:szCs w:val="20"/>
        </w:rPr>
        <w:t xml:space="preserve">data transfer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relationships with specialty laboratories to uphold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data metrics and reports that highlighted potential quality issues, tracking known data discrepancies while collaborating with the study team to implement corrective 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to enhance data visualization processes, making key findings available to stakeholders to support decision-making in clinical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review data discrepancies and status updates, ensuring that data cleaning initiatives were aligned with project timelines and maintaining study momentum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data management plans that guided stakeholders through the nuances of possible data processing challenges amid dynamic clinical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software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internal data systems to improve the flow of information across clinical studies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clinical teams on the development and continuous improvement of databases,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ensuring timely delivery of critical updates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for the performance of statistical analyses, producing detailed reporting outputs that assisted in strategic clinical trial decision-making efforts within regulatory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data collection activities, ensuring compliance with industry standards,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datasets for effective communication of complex results to both technical and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project management professionals to align timelines and deliverables, proactively addressing potential delays in data processing and maintaining high standards for data management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coding and documentation standards for clinical data processes while participating in audit activities aimed at ensuring the adherence to regulatory guidelines.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