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 with a strong focus on Machine Learning and Data Engineering. Proven expertise in MLOps, utilizing AWS, Docker, and Airflow to optimize machine learning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AWS SageMaker, AWS Lambda,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Apache Airflow, Jenkins,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training and deployment workflows, leading to significant improvement in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 DAGs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ETL workflows that process real-time data, ensuring seamless integration and data availability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monitoring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enabling proactive alerts on model performance deviations to maintain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integrating data pipelines that optimized the data retrieval process, leading to quicker model training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code quality and robustness of ML models through automated unit tests, enhancing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quality checks and validation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Great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accuracy and dependability of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fields, which informed the implementation of best practices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working in an Agile environment, ensuring continuous integration and deployment (CI/CD) practices were maintained for smooth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and enhancing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translate business requirements into technical specifications, thus ensuring alignment of technical solutions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identified optimization opportunities, implementing changes that improved data processing speed and model accuracy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analytics solutions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various cohorts of data, which increased the overall efficiency of the client's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uplift the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MLOps,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model deployment processes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scalability and minimal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create tailored analytics solutions for clients in sectors like healthcare and finance, directly impacting their operational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with a focus on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user experiences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microservices architecture, facilitating efficient data exchange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on-premise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better resource management and operational cost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CI/CD pipeline, reducing deployment time and increasing the software release 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into high-quality interactive user interfaces, ensuring aesthetic and functional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code quality and ensured adherence to best practices, promoting a culture of peer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interactivity of web applications, significantly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resulting in improved application responsiveness and reduced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secure connections and data transfer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mechanisms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system architectures, API contracts, and workflows, which improved project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industry trends and emerging technologies, successfully integrating them into development practices, supporting innovation, and advancing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innovative problem-solving skills, ensuring high availability and performance of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