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applications and financial technology solutions. Proven ability to lead engineering teams and enhance user experiences through innovation and technical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Azure Functions, AWS Lambda,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Cosmos DB,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Datadog,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enterprise-grade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performance and maintainability for financial technology solutions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implement user-centered designs, ensuring seamless user experiences on multiple consumer-facing platforms while maintaining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collaborative programming sessions, fostering a culture of learning and innovation within the engineering team, ensuring adherence to best practices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monitoring solutions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logging and alerting to maintain system reliability and effectively resolve user-reported issues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development frameworks across teams, enhancing the efficiency of the development process while maintaining high standards of code quality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business requirements into technical solutions, aligning engineering efforts with compliance, security, and accessibility standards to create inclusive web applications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web solutions that cater to different business lines, utilizing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 to ensure flexibility and scalability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AI-driven SDLC environment, leveraging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workflows and reduce cycle times for delivering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introduced improvements to existing applications by analyzing user feedback, resulting in measurable enhancements in user satisfaction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align goals, resolve conflicts, and promote a shared understanding of project objectives while managing stakeholder expectations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functionalities of web applications, facilitating faster release cycles and maintaining high-quality standards during development.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to support front-end functionalities effectively,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appropriate for optimized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product roadmaps and prioritize engineering initiatives, aligning technical strategies with business goals and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security protocols and encryption standards, ensuring user data protection and compliance with applicable data privacy regulations across all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progress to stakeholders, ensuring alignment across various departments while proactively addressing any potential challenges to meet project deadlines.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innovative web solutions,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consumer-facing applications, enhancing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between front-end applications and backend services, optimizing application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actively in daily stand-ups, sprint planning, and retrospective meetings, fostering a highly collaborative team environment and increasing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front-end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UI components and addressing client feedback to ensure a positive user experience on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of applications with minimal downtime and streamlined rollback procedures.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