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creating robust web and mobile applications. Proven track record in delivering data-driven solutions leveraging the latest in machine learning, cloud technologies, and analytics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HTML, CSS, SQL, R,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Django, Flask, React, Node.js, Express.js,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Lambda, Glue, Athena, Redshift, DynamoDB, QuickSight, Bedrock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MongoDB, PostgreSQL, Elasticsearch, Hadoop, Tableau, Power BI,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Continuous Integration, Continuous Deployment, TDD, BPA, API Development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Additional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Salesforce, JIRA, Confluence, Maven, Docker, Kubernetes, Jenkins, VSCode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to enhance predictive analytics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WalletShare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insights for asset management clients and facilitating smarter business decisions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 highly adaptive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cloud-based applications, ensuring high quality and efficiency throughout the software development lifecycle using methodologies aligned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major CRM systems, significantly improving data accessibility and utilization for our clients by using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ensuring seamless data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collaborative problem-solving and knowledge sharing, which led to an enriched team environment and improved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empowering our applications to deliver insightful market analysis and trends using both proprietary datasets and public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practices to enhance application scalability and responsiveness, optimizing the performance of applications deployed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robust debugging and troubleshooting skills to resolve technical issues in live environments swiftly, minimizing downtime and ensuring a smooth user experience for stakeholders and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documentation to uphold quality standards across all phases of development, fostering a culture of excellence and responsibility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serverless architecture tools to create event-driven functionalities that streamlined data processing and improved resource efficiency for large-scale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construct robust back-end structures, facilitating seamless interactions between front-end applications and databases, tailoring solutions to client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interoperability between various systems and platforms, which greatly enhanced user adaptability and satisfaction in project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training sessions for staff on emerging technology trends in the financial and healthcare technology sectors, ensuring the team remained competitive and knowledgeable.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client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user engagement through intuitive designs and improved user experience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migration projects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enabling the seamless transition of client data to modern platforms while ensuring data integrity and compliance with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research to identify and evaluate new technologies, providing insights that drove product enhancements leading to improved client outcomes and satisfaction levels.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creating responsive layouts and advanced functionalities that aligned with user needs and expectations within competitive markets.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refine project requirements, enabling the development of precise project scopes and successful implementations in line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by implementing continuous integration and deployment pipelines that accelerated development cycles, thereby increasing overall productivity while reducing the likelihood of production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user-centered design specifications that increased application usability and overall user satisfaction through iterative process improvements based on user feedback and analytics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applications through strategic code refactoring and the introduction of modern patterns, leading to significant enhancements in application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testing and system testing protocols to maintain the highest standards of software quality, employing testing frameworks and ensuring comprehensive documentation of findings and resolutions.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and knowledge-sharing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distributed computing concepts, empowering team members to leverage new technologies effectively in their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project planning discussions, contributing technical insights that helped drive strategic decisions and aligning development efforts with organizational priorities and client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and code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code integrity was maintained and facilitating smooth collaborative efforts among team members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 series of interactive design sessions, leading discussions that resulted in the successful deployment of several high-traffic application features which improved client engagement and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frameworks, ensuring that new development adhered to industry standards and enhancing the maintainability and scalability of local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security measures in compliance with regulatory standards, putting in place protocols and procedures that safeguarded client information and ensured trust and reliability in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