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innovative Lead Architect with over 11 years of experience in software development, specializing in web and mobile applications. Proven expertise in designing and implementing C#/.Net solutions and AWS services. Strong leadership skills demonstrating the ability to mentor and guide architectural standards across cross-functional teams to deliver high-quality products. Passionate about promoting a culture of collaboration, curiosity, and excellence while adapting to rapidly changing technological environments. Looking to leverage extensive experience in scalable software systems to help shape the future of software development at Everway.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ASP.NET,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AWS, Azure,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MongoDB, PostgreSQL, Apollo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Patterns:</w:t>
      </w:r>
      <w:r w:rsidRPr="00745DD3">
        <w:rPr>
          <w:rFonts w:ascii="Roboto Light" w:eastAsia="Roboto Light" w:hAnsi="Roboto Light" w:cs="Roboto Light"/>
          <w:color w:val="404040" w:themeColor="text1" w:themeTint="BF"/>
          <w:sz w:val="20"/>
          <w:szCs w:val="20"/>
        </w:rPr>
        <w:t xml:space="preserve"> Microservices, Event-Driven Architecture, REST APIs, Serverless Architecture, CQRS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CircleCI, Terraform, Ansible,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overall application architecture and design for complex distributed systems and cloud solutions, aligning the technical direction with product vision while fostering a collaborative environment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to junior and senior architects and engineers to uphold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design, ensuring projects adhere to quality, security,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innovative technologies like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evaluating tools and frameworks to enhance architectural capabilities, while implementing solutions that maximize performance and scalability in cloud-native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strategic direction of technical efforts by collaborating with cross-functional teams, effectively communicating complex ideas to empower teams and streamline product delivery processes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smooth operation and maintenance of the software delivery lifecycle, promoting a culture of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adaptability in a fast-paced environment to meet evolving business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team of skilled architects, promoting an </w:t>
      </w:r>
      <w:r w:rsidRPr="00745DD3">
        <w:rPr>
          <w:rFonts w:ascii="Roboto Light" w:eastAsia="Roboto Light" w:hAnsi="Roboto Light" w:cs="Roboto Light"/>
          <w:b/>
          <w:bCs/>
          <w:color w:val="404040" w:themeColor="text1" w:themeTint="BF"/>
          <w:sz w:val="20"/>
          <w:szCs w:val="20"/>
        </w:rPr>
        <w:t xml:space="preserve">empathetic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encouraged open communication and provided opportunities for professional development, thereby increasing overall team performance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microservices architecture to optimize system performance and reliability, resulting in simplified processes and reduced deployment times, and championed the migration of monolith applications to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practices within the deployment pipeline, ensuring software integrity while enhancing the ability to deliver high-quality products continuously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Surpassed technological challenges by developing </w:t>
      </w:r>
      <w:r w:rsidRPr="00745DD3">
        <w:rPr>
          <w:rFonts w:ascii="Roboto Light" w:eastAsia="Roboto Light" w:hAnsi="Roboto Light" w:cs="Roboto Light"/>
          <w:b/>
          <w:bCs/>
          <w:color w:val="404040" w:themeColor="text1" w:themeTint="BF"/>
          <w:sz w:val="20"/>
          <w:szCs w:val="20"/>
        </w:rPr>
        <w:t xml:space="preserve">concurrent data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data processing capabilities for real-time applications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team standards through coaching on </w:t>
      </w:r>
      <w:r w:rsidRPr="00745DD3">
        <w:rPr>
          <w:rFonts w:ascii="Roboto Light" w:eastAsia="Roboto Light" w:hAnsi="Roboto Light" w:cs="Roboto Light"/>
          <w:b/>
          <w:bCs/>
          <w:color w:val="404040" w:themeColor="text1" w:themeTint="BF"/>
          <w:sz w:val="20"/>
          <w:szCs w:val="20"/>
        </w:rPr>
        <w:t xml:space="preserve">web 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(WCAG, ARIA), ensuring products met diverse user needs and contributed to inclusive design practices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product and design teams to align technical implementation with user experience goals, creating high-quality, user-facing features that delighted clients and maintained brand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introduction of new </w:t>
      </w:r>
      <w:r w:rsidRPr="00745DD3">
        <w:rPr>
          <w:rFonts w:ascii="Roboto Light" w:eastAsia="Roboto Light" w:hAnsi="Roboto Light" w:cs="Roboto Light"/>
          <w:b/>
          <w:bCs/>
          <w:color w:val="404040" w:themeColor="text1" w:themeTint="BF"/>
          <w:sz w:val="20"/>
          <w:szCs w:val="20"/>
        </w:rPr>
        <w:t xml:space="preserve">frameworks and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team projects, ensuring that engineering best practices were maintained while driving innovation within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strategic workshops that encouraged team engagement and collaboration on architectural decisions, enhancing alignment among various functional teams and fostering a shared vision for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around coding standards and development practices to improve team efficiency and performance, significantly reinforcing the architectural integrity of complex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directly to hands-on development efforts by building prototypes and conducting technical spikes to assess the feasibility of emerging technologies against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while aligning closely with frontend development for seamless user experience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understand user requirements, translating them into technical specifications and ensuring the final products aligned with client and market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interactive features and improving user engagement through optimized performance and streamlined development practices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enforce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protocols, and maintainability standards while guiding junior developers towards achieving a higher level of quality in their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phases of the Software Development Life Cycle (SDLC), ensuring each stage from planning to deployment met stringent quality assurance measures and adhered to project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enhancing the usability of SaaS products, focusing on creating a positive user experience and instilling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into development discussions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 software solutions, effectively improving performance scalability and enabling independent deployment across diverse development teams to accelerate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maintain cloud infrastructure, ensuring high availability and disaster recovery measures were in place to support a dynamic set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improved code quality and faster release cycles by reducing the number of regressions and enhancing overall team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analytic teams to derive insights from application performance data, using these insights to guide architectural improvements and maintain the competitive edge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ceremonies to promote efficient workflows and ensure project priorities were effectively communicated across teams, adapting development processes based on stakeholder feedback and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for team members focusing on new technologies, fostering a culture of continuous learning and skill development within the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