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Infrastructure Engineer with 11 years of experience in software development, specializing in web and mobile applications. Proven track record of implementing DevSecOps practices, enhancing site reliability, and improving cloud security. Passionate about utilizing cutting-edge technologies in distributed systems to reshape financial services across CeFi and DeFi markets.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TypeScript, Ruby,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 Terraform, HashiCorp Vault,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Redis, MySQL, Cassandra, MongoDB, Kafka, Elasticsearch, Aurora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SOC 2, NIST, PCI-DSS, IAM, SSO, DevSecOps, Cybersecurity best practices, Network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Tools:</w:t>
      </w:r>
      <w:r w:rsidRPr="00745DD3">
        <w:rPr>
          <w:rFonts w:ascii="Roboto Light" w:eastAsia="Roboto Light" w:hAnsi="Roboto Light" w:cs="Roboto Light"/>
          <w:color w:val="404040" w:themeColor="text1" w:themeTint="BF"/>
          <w:sz w:val="20"/>
          <w:szCs w:val="20"/>
        </w:rPr>
        <w:t xml:space="preserve"> Prometheus, Grafana, ELK Stack, Splunk, Jenkins, CircleCI, SonarQube,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distributed infrastructure for critical financial services, ensuring high availability and strong performance through rigorous </w:t>
      </w:r>
      <w:r w:rsidRPr="00745DD3">
        <w:rPr>
          <w:rFonts w:ascii="Roboto Light" w:eastAsia="Roboto Light" w:hAnsi="Roboto Light" w:cs="Roboto Light"/>
          <w:b/>
          <w:bCs/>
          <w:color w:val="404040" w:themeColor="text1" w:themeTint="BF"/>
          <w:sz w:val="20"/>
          <w:szCs w:val="20"/>
        </w:rPr>
        <w:t xml:space="preserve">site reliability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gradual improvements based on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the team by fostering a culture of collaboration focused on security, deployment automation, and rapid recovery from service outages using effective incident response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cross-functional teams about industry-standard </w:t>
      </w:r>
      <w:r w:rsidRPr="00745DD3">
        <w:rPr>
          <w:rFonts w:ascii="Roboto Light" w:eastAsia="Roboto Light" w:hAnsi="Roboto Light" w:cs="Roboto Light"/>
          <w:b/>
          <w:bCs/>
          <w:color w:val="404040" w:themeColor="text1" w:themeTint="BF"/>
          <w:sz w:val="20"/>
          <w:szCs w:val="20"/>
        </w:rPr>
        <w:t xml:space="preserve">reliability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comprehensive training sessions on improving system design to achieve resilience and lower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management and operation of multiple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spanning numerous environments, establishing guidelines for deployment, configuration, and ongoing maintenance to maximize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core services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internal systems to increase data accessibility and streamline operations across the financial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scalability and performance optimization of critical applications by outperforming traditionally used monitoring tools with advanced analytics and personalized dashboards for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addressing production incidents swiftly while leveraging strong collaboration with product and engineering disciplines to facilitate seamless crisis management and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contributed to the architectural evolution of services, focusing on identifying performance bottlenecks and implementing effective countermeasures to ensure real-time responsiveness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release processes and ensured software quality through thorough testing methodologies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tailored to meet stringent security requirements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senior management to prioritize engineering efforts based on strategic business goals, ensuring alignment between operational capabilities and client expectations in the financial trading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open-source and commercial technologies effectively for complex problem-solving, like adopting tools for secure access, integrated monitoring, and performance management within the infrastructure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high-velocity team development by implementing agile methodologies and fostering a culture of innovation and continuous improvement among team members, leading to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trends in cloud infrastructure and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influencing strategic initiatives to elevate overall operational resilience in line with industry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in line with </w:t>
      </w:r>
      <w:r w:rsidRPr="00745DD3">
        <w:rPr>
          <w:rFonts w:ascii="Roboto Light" w:eastAsia="Roboto Light" w:hAnsi="Roboto Light" w:cs="Roboto Light"/>
          <w:b/>
          <w:bCs/>
          <w:color w:val="404040" w:themeColor="text1" w:themeTint="BF"/>
          <w:sz w:val="20"/>
          <w:szCs w:val="20"/>
        </w:rPr>
        <w:t xml:space="preserve">compliance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organization adhered to the necessary regulatory requirements governing secure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their growth in areas of cloud deployment, security protocols, and modular application design, thereby enhancing overall team capability and proficiency.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scalable applications using modern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while focusing on user experience and performance optimization for a diverse client portfolio.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integrate new features into existing systems, ensuring smooth deployments while adhering to quality assurance processes and maintaining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troubleshooting and remediation of application issues, using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methodologies to maintain operational integrity during critical production periods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modularity and maintainability, reducing complexity and enhancing deployment speed for rapidly evolving product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align technologies with best practices, driving forward-thinking solutions that catered to both customer needs and business objectives in financial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and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team performance, prioritize tasks, and deliver quality software quickly while ensuring stakeholder engagement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to support mobile and web applications, enhancing interoperability and expanding capabilities for critical trading functionalities across financial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professional documentation protocols for sharing knowledge across teams, creating resources that streamlined onboarding procedures and knowledge transfer between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best practices for software development and contributing to higher efficiency through constructive feedback and knowledge sharing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CI/CD pipelines to ensure smooth software releases, integrating automated testing and deployments that facilitated faster delivery cycles without sacrificing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for high-traffic applications, utilizing caching and load-balancing strategies to ensure proactive responsiveness to user demand and enhanced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and external compliance-related initiatives, familiarizing the team with necessary </w:t>
      </w:r>
      <w:r w:rsidRPr="00745DD3">
        <w:rPr>
          <w:rFonts w:ascii="Roboto Light" w:eastAsia="Roboto Light" w:hAnsi="Roboto Light" w:cs="Roboto Light"/>
          <w:b/>
          <w:bCs/>
          <w:color w:val="404040" w:themeColor="text1" w:themeTint="BF"/>
          <w:sz w:val="20"/>
          <w:szCs w:val="20"/>
        </w:rPr>
        <w:t xml:space="preserve">compliance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actively ensuring adherence to regulatory requirements governing the software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