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development, adept at building scalable platforms and driving organizational strategies. Proven ability to lead multidisciplinary teams in delivering high-quality, reliable systems utilizing advanced AI technologies. Passionate about fostering an inclusive and collaborative work culture while ensuring operational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TypeScript, C++,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TensorFlow, PyTorch, Flask, Django, Spring,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Management:</w:t>
      </w:r>
      <w:r w:rsidRPr="00745DD3">
        <w:rPr>
          <w:rFonts w:ascii="Roboto Light" w:eastAsia="Roboto Light" w:hAnsi="Roboto Light" w:cs="Roboto Light"/>
          <w:color w:val="404040" w:themeColor="text1" w:themeTint="BF"/>
          <w:sz w:val="20"/>
          <w:szCs w:val="20"/>
        </w:rPr>
        <w:t xml:space="preserve"> Apache Spark, Apache Flink, Ray, Beam, Kafka, SQL, NoSQL,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CI/CD:</w:t>
      </w:r>
      <w:r w:rsidRPr="00745DD3">
        <w:rPr>
          <w:rFonts w:ascii="Roboto Light" w:eastAsia="Roboto Light" w:hAnsi="Roboto Light" w:cs="Roboto Light"/>
          <w:color w:val="404040" w:themeColor="text1" w:themeTint="BF"/>
          <w:sz w:val="20"/>
          <w:szCs w:val="20"/>
        </w:rPr>
        <w:t xml:space="preserve"> Docker, Kubernetes, Helm, GitLab CI/CD, Jenkins, MLflow, Kubeflow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Providers &amp; DevOps Tools:</w:t>
      </w:r>
      <w:r w:rsidRPr="00745DD3">
        <w:rPr>
          <w:rFonts w:ascii="Roboto Light" w:eastAsia="Roboto Light" w:hAnsi="Roboto Light" w:cs="Roboto Light"/>
          <w:color w:val="404040" w:themeColor="text1" w:themeTint="BF"/>
          <w:sz w:val="20"/>
          <w:szCs w:val="20"/>
        </w:rPr>
        <w:t xml:space="preserve"> AWS, GCP, Azure, Terraform, Ansible, Prometheus, Grafana,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Postman, Jest, Selenium, JUnit, Mockito, Pytest, SonarQube,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infrastructure for model development lifecycle, enhancing workflows from raw data ingestion to experimental execution and analytics, while overseeing a team of 50+ engineers to deliver robust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Redesigned organizational strategies and long-term roadmaps to align technical objectives with user and company needs, resolving conflicts between immediate operational demands and broader technical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web console and API facilitating frictionless experiment execution allowing researchers to monitor and analyze millions of tests rapidly, streamlining the data-driven decision-making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resource allocation of GPU and CPU clusters, ensuring adherence to cost constraints and safety requirements while enhancing overall utilization and efficiency of compute resources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health and efficiency of petabyte-scale data ingestion pipelines, collaborating with multiple datasets including third-party data and on-vehicle generated information to deliver timely and accurate training inputs.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CI principles and practices to ensure reproducibility of model-training workflows and lineage tracking while enabling confidence in the promotion of model artifacts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reliable and highly observable platform meeting stringent SLAs through innovative incident response protocols and continuous monitoring, reinforcing the company’s commitment to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AI research and engineering teams to translate state-of-the-art research concepts into production-ready tools, while iterating quickly on user feedback to refine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 inclusive team culture by mentoring junior engineers and fostering a high-ownership environment that encourages safety, learning, and operational excellence among diverse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focusing on incident response and post-mortem analysis, cultivating a culture of continuous improvement to decrease downtime and enhance system reliability across critical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enhance team capabilities in distributed data processing methodologies, cloud services integration, and CI/CD pipelines, fostering a culture of shared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model-testing safety by optimizing workflows and ensuring seamless integration of experimentation feedback loops, contributing to the development of more reliable autonomous driving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integration of cutting-edge AI technologies into the development platform, focusing on promoting a future-oriented vision that meets regulatory standards and promotes safety in autonomous vehicles.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implementation of data governance practices, abiding by data privacy regulations while ensuring secure compute of sensitive datasets for training and evaluation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cross-team collaborations with product and operations divisions, effectively aligning research goals with operational demands, and enhancing platform alignment within the organization's strategic vision.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software solutions within a distributed computing environment, collaborating with cross-functional teams to deliver high-performance applications using technologies like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deployment, and scaling of applications, which significantly improved release efficiency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design high-performance data models and queries, enhancing data accessibility and efficiency for reporting and analytics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stakeholders to gather requirements and translate them into technical specifications, ensuring that designs met both functional and quality expectations, while adhering to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robust API infrastructure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secure and efficient communication between frontend and backend components while optimizing user experience across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and facilitated knowledge-sharing sessions which improved code quality and team collaboration, fostering a work environment centered around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and logging solutions, including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proactive incident detection system and improve application performance and system health.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conducting daily stand-ups, sprint planning, and retrospective meetings to align on goals and improve productivity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 to refactor legacy codebases to modern standards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technical debt and minimizing risks associated with outdated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initiative in designing training materials and conducting sessions to onboard new employees onto the team’s development practices and tools, promoting a consistent and knowledgeable workforce.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security best practices in software development by incorporating regular audits and compliance checks, securing sensitive customer data against evolving threats and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science teams to implement machine learning features into applications, leveraging tools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functionality and user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