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high-performance computing, web, and mobile applications. Proficient in bridging the gap between technology and users, ensuring customer success. Passionate about scientific innovation and dedicated to crafting comprehensive technical documentation and engaging training sessions. Strong interdisciplinary collaboration skills with a focus on delivering impactful solutions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Fortran, Python, CUDA, Java,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Parallel Programming:</w:t>
      </w:r>
      <w:r w:rsidRPr="00745DD3">
        <w:rPr>
          <w:rFonts w:ascii="Roboto Light" w:eastAsia="Roboto Light" w:hAnsi="Roboto Light" w:cs="Roboto Light"/>
          <w:color w:val="404040" w:themeColor="text1" w:themeTint="BF"/>
          <w:sz w:val="20"/>
          <w:szCs w:val="20"/>
        </w:rPr>
        <w:t xml:space="preserve"> MPI, OpenMP, OpenACC, Pthreads, CUDA, OpenCL, CyCL,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LLVM, SLURM, PBS,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xml:space="preserve"> NumPy, Pandas, SciPy, Matplotlib, TensorFlow, PyTorch, Scikit-learn, 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Ubuntu, CentOS, Debian, RHEL, MacOS, Windows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GCP, Terraform, OpenStack, HPC Clusters, VMware, KVM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diverse scientific environments, facilitating peak performance in applications ranging from weather prediction to advanced computational modeling, fundamentally enabling clients to achieve their research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in-depth technical training sessions for clients utilizing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creating educational materials that empower users to effectively leverage advanced computational tools and methodologies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develop user-centered documentation that clarifies complex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enhancing overall customer satisfaction and understanding, while contributing to the continuous improvement of internal knowledge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 development discussions, providing insights from the user perspective, which guided feature enhancement and prioritized roadmap decisions based on direct user needs in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application analyses, identifying optimization opportunities that allowed clients to refine their use of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accelerating scientific discovery and enhancing productivity across various research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liaison between clients and product teams, ensuring that user feedback was integrated into the design and development process, directly impacting product usability and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experience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optimize client applications for high-performance scenarios, significantly reducing run-time and enhancing overall computational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complex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provided extensive support on parallel programming languages such as </w:t>
      </w:r>
      <w:r w:rsidRPr="00745DD3">
        <w:rPr>
          <w:rFonts w:ascii="Roboto Light" w:eastAsia="Roboto Light" w:hAnsi="Roboto Light" w:cs="Roboto Light"/>
          <w:b/>
          <w:bCs/>
          <w:color w:val="404040" w:themeColor="text1" w:themeTint="BF"/>
          <w:sz w:val="20"/>
          <w:szCs w:val="20"/>
        </w:rPr>
        <w:t xml:space="preserve">MPI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operational capabilities of scientific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of industry trends in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adapting training and support resources to align with evolving best practices and cutting-edge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improvement by integrating customer success metrics into support strategies, resulting in refined processes that enhance user experience in using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teams during critical milestones to ensure alignment between technical capabilities and client expectations, thereby reinforcing a customer-first approach in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workshops and conferences to present technical findings on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fostering community engagement and establishing our organization as a thought leader in high-performance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understanding of leveraging key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next-generation capabilities, ensuring that customer applications could seamlessly incorporate emerging technologies into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 collaboration focused on refining user interfaces and experiences within the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ultimately shaping future updates based on actual user feedback and project successes.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academic and commercial partners to cultivate collaborative research opportunities that utilized our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driving innovation and encouraging impactful scientific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cross-functional teams to produce scalable applications for enterprise clients, emphasizing innovative user experiences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performance-heavy modules that demanded intricate understanding of parallel processing and resource management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to improve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designs, ensuring that code quality was upheld while attempting to optimize resource allocation using industry-standard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of applications, implementing empirical methods to identify performance bottlenecks in vast datasets which facilitated superior computational solutions and enhanced analytical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the integration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the application stack,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revolutionize predictive analytics capabilities within the software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conventional computing platforms to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architectures, guiding teams in adopting tools for effective resource management and computational efficiency in software provisioning.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documentation practices for all code produced, emphasizing clarity and conciseness to aid in subsequent debugging and future development processes, fostering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key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through shared learning and the dissemination of advanced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precise requirements that shaped the software development process, emphasizing the need for adaptable solutions in fast-changing project environments within the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libraries and frameworks to support computational efficiency in applications, paving the way for streamlined software development processes and improved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 operating procedures regarding software deployments to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compliance with protocols while minimizing service disruption and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deployments and greater scalability in </w:t>
      </w:r>
      <w:r w:rsidRPr="00745DD3">
        <w:rPr>
          <w:rFonts w:ascii="Roboto Light" w:eastAsia="Roboto Light" w:hAnsi="Roboto Light" w:cs="Roboto Light"/>
          <w:b/>
          <w:bCs/>
          <w:color w:val="404040" w:themeColor="text1" w:themeTint="BF"/>
          <w:sz w:val="20"/>
          <w:szCs w:val="20"/>
        </w:rPr>
        <w:t xml:space="preserve">HPC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