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applications. Proven ability to engage with customers, translating their needs into technical solutions. Proficient in leading full-stack development projects and collaborating with cross-functional teams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HTML, CSS,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 Boot, Django, Ruby on Rails, Flask, GraphQL,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Redis, SQLite,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customer feedback, translating insights into actionable technical solutions that enhanced user experience and drove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implemented solutions to address customer pain points, leveraging industry knowledge and technical expertise to create targeted interventions that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the deployment process for web applications, ensuring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contributing code and documentation, which improved community engagement and provided valuable learning experiences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automating deployment workflows, enabling faster and more reliable software releases that accommodated customer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through direct interaction to understand their needs and challenges, guiding them through technical implementations and product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customers, empowering them with product knowledge and enhancing their overall experience and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representing customer insights to inform product direction and identify necessary enhancements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maintained best practices within the engineering team, ensuring high-quality outputs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analyzed application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operations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data analytics practices within the team to streamline workflows and facilitate the integration of business intelligence tools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direction by identifying patterns across customer usage, directly informing engineering priorities and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providing clients with more efficient data retrieval and manipulation capabilities to enhance linking between the frontend and backend.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growth mindset in addressing product challenges, prioritizing impactful solutions that align with user requests over achieving perfect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cross-platform compatibility and high scalability according to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integrate user feedback into development cycles, successfully translating customer needs into technical specifications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users by developing interactive tutorials and walkthroughs, leveraging customer insights to improve user activation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strategies and ensuring efficient data exchange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that enhanced performance metrics significantly, employing profiling and monitoring tools to identify bottlenecks and implementing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adoption of microservices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enabling more flexible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remote retrospectives to gather actionable feedback, improving team collaboration and enhancing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junior developers, fostering a culture of learning and innovation that emphasizes customer-centric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authentication and authorization systems integrating OAuth2 protocols which ensured robust security measures for customer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 cross-platform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market reach and responding to customer demands for mobile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refactoring activities, enhancing code quality and application performance, aligning with best practices and modernization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third-party services, enhancing application features based on user feedback, driving both utilization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