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frontend development for web and mobile applications. Proven expertise in React, TypeScript, and API integrations, aiming to enhance healthcare technology solutions through innovative design and engineering principles.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Redux,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Cypress, Enzyme, React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Docker,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 Tools:</w:t>
      </w:r>
      <w:r w:rsidRPr="00745DD3">
        <w:rPr>
          <w:rFonts w:ascii="Roboto Light" w:eastAsia="Roboto Light" w:hAnsi="Roboto Light" w:cs="Roboto Light"/>
          <w:color w:val="404040" w:themeColor="text1" w:themeTint="BF"/>
          <w:sz w:val="20"/>
          <w:szCs w:val="20"/>
        </w:rPr>
        <w:t xml:space="preserve"> Figma, Sketch, InVision, Slack,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maintainable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web applications, ensuring responsive design and cross-browser compatibility to meet modern user accessibility standards and enhance user satisfaction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design, product management, and backend engineering to define product requirements and translate them into technical specifications for frontend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them seamlessly with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to enhance data handling efficiency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(CI/CD) strategies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deployment speeds and reduced downtime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rigorous testing protocols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stability and performance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engineering excellence, mentored junior developers in best coding practices, and fostered collaboration within Agile teams to promote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frontend workflows, improving type safety and reducing the occurrence of runtime errors within the application, thereby enhancing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accessible components in line with the design language system, focusing on user experience to deliver impactful solutions for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new frontend technologies and tools, such as </w:t>
      </w:r>
      <w:r w:rsidRPr="00745DD3">
        <w:rPr>
          <w:rFonts w:ascii="Roboto Light" w:eastAsia="Roboto Light" w:hAnsi="Roboto Light" w:cs="Roboto Light"/>
          <w:b/>
          <w:bCs/>
          <w:color w:val="404040" w:themeColor="text1" w:themeTint="BF"/>
          <w:sz w:val="20"/>
          <w:szCs w:val="20"/>
        </w:rPr>
        <w:t xml:space="preserve">CSS-in-JS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advanced styling solutions and ensure visual consistency across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constructive feedback to consistently improve team output quality and align with project goals for high-impact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adopted new technologies to streamline the development process, including server-side rendering strategies to optimize performance and SEO visibility of our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bridging gaps between design and engineering, facilitating a seamless flow of information and feedback to ensure the final product meets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decision making to evolve web application features based on user feedback and analytics, which significantly enhanced functionality and usability for our healthcare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optimization of build processes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best practices for efficient resource management, aiming to reduce load times and improve application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team efficiency through the implementation of coding standards and documentation practices, fostering a collaborative environment that prioritizes high-quality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web applications focused on optimizing user experience utilizing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which led to increased user engagement and satisfaction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transition of legacy systems into a microservices architecture,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application architectures and enhance overall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establishment of a templated design system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implemented across various projects to ensure consistency and scalability in the design process, aligning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streamlining project collaboration and allowing for simultaneous development efforts, which significantly improved project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services like payment processing and data fetching, enhancing the functionality and feature set of web applications to address diverse client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identifying and troubleshooting Linux server issues within development environments, enhancing deployment workflows and maintaining high operational uptime during service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audits of applications, utilizing monitoring tools to optimize load times and responsiveness, improving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ceremonies to establish project roadmap milestones and foster seamless communication between business and development teams, promoting transparency and alignment with broader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in-depth technical documentation for pivotal projects focusing on user guides and API specifications, which facilitated knowledge transfer and supported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translate business requirements into technical specifications, ensuring clarity in communication and alignment of project outcomes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features for accessibility compliance within applications, ensuring compliance with industry standards and enhancing overall product usability for all user demographics.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scope planning and resource allocation practices to deliver projects on-time while achieving high-quality standards for client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