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Architect with over 11 years of experience in software development, specifically in web and mobile applications. Proficient in leading technical projects, collaborating with cross-functional teams, and delivering scalable solutions with an emphasis on Next.js, React, and AWS. Expertise includes driving modernization efforts and mentoring teams to enhance performance and maintainability across platforms while adhering to best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Next.js, React, Redux,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Cloud Services:</w:t>
      </w:r>
      <w:r w:rsidRPr="00745DD3">
        <w:rPr>
          <w:rFonts w:ascii="Roboto Light" w:eastAsia="Roboto Light" w:hAnsi="Roboto Light" w:cs="Roboto Light"/>
          <w:color w:val="404040" w:themeColor="text1" w:themeTint="BF"/>
          <w:sz w:val="20"/>
          <w:szCs w:val="20"/>
        </w:rPr>
        <w:t xml:space="preserve"> Docker, AWS, Serverless, CloudFormation,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Git,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Jenkins, GitHub Actions, Travis CI,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Webpack, Lighthouse, Optimizations, Profiling, Accessibility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scalable frontend solutions,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developer productivity across multiple client projects in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provided mentorship to junior developers, fostering a culture of continuous improvement and ensuring adherence to modern coding practices and quality standards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business requirements into technical specifications, aligning project goals with architectural strategies for frontend technologies and implementation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modernization of legacy systems, integrating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while improving responsiveness and streamlining communication between frontend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technology evaluations and adoption of new frameworks, enhancing the team's technical knowledge base while identifying and mitigating risks associated with existing technology stacks in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cloud-native architecture, implementing serverless functionalities to reduce operational costs while increasing reliability and scalability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project deployments and improving time to market for feature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state management tools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Context API, enriching team expertise in crafting highly interactive user interfaces that enhance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key performance metrics using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profiling tools, leading optimizations that significantly improved load times and responsiveness of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accessibility standards within all frontend solutions, ensuring that applications remained usable for all users, including those with disabilities, by implementing compliant design principles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dependencies between various service layers, leveraging clear interface contracts to ensure reliable communication patterns and minimal downtime during updates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intricacies of eCommerce platforms, applying industry best practices to build scalable and maintainable B2C applications that drive user engagement and conversions.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technical decision-making through effective communication strategies that engaged both technical and non-technical stakeholders, ensuring transparency around architectural priorities and goals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and reliability of frontend components, resulting in reduced bugs and improved user satisfaction with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 sprints by providing frontend architecture expertise, delivering solutions on time and within budget, while promoting a culture of collaboration and technical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high-impact projects at Microsoft where I 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intuitive user interfaces, focusing on delivering a seamless customer experience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with UX/UI designers to develop responsive designs and prototypes, ensuring that the frontend engineering work remained in sync with both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developer workflows by introducing automation tools and frameworks, which improved development speed and code quality while minimizing manual intervention during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architecture discussions to evaluate new technologies, resulting in improved system architectures that supported large-scale applications and enabled efficient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application-wide usage of features and adhering to the highest standards of maintainability and scalability in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stand-ups and retrospectives, helping to identify areas of improvement while reinforcing the importance of agility and responsiveness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interoperability between frontend and backend implementations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performance optimization that met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and architectural decisions, cultivating an environment of knowledge exchange and professional growth that improved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promoting microservices architecture and enabling faster provisioning of environments for testing and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identify and resolve bottlenecks, ensuring high availability and responsiveness of applications while maintaining optimal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data privacy protocols that ensured compliance with regulations during development, helping protect sensitive user data and contributing to the integrity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collaborations to devise innovative technological solutions that addressed critical business challenges, demonstrating a strategic mindset while balancing technical viability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