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Data-driven professional with 11 years of experience in software development focusing on web and mobile applications. Proven ability to extract insights from media performance, leverage machine learning models, and enhance digital ad strategies. Strong expertise in data science, analytics, and machine learning within advertising and SaaS environments, facilitating actionable insights and client-facing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TypeScript, Scala,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ML Frameworks:</w:t>
      </w:r>
      <w:r w:rsidRPr="00745DD3">
        <w:rPr>
          <w:rFonts w:ascii="Roboto Light" w:eastAsia="Roboto Light" w:hAnsi="Roboto Light" w:cs="Roboto Light"/>
          <w:color w:val="404040" w:themeColor="text1" w:themeTint="BF"/>
          <w:sz w:val="20"/>
          <w:szCs w:val="20"/>
        </w:rPr>
        <w:t xml:space="preserve"> Scikit-learn, TensorFlow, Keras, PyTorch, XGBoost, Spark MLlib,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Reporting:</w:t>
      </w:r>
      <w:r w:rsidRPr="00745DD3">
        <w:rPr>
          <w:rFonts w:ascii="Roboto Light" w:eastAsia="Roboto Light" w:hAnsi="Roboto Light" w:cs="Roboto Light"/>
          <w:color w:val="404040" w:themeColor="text1" w:themeTint="BF"/>
          <w:sz w:val="20"/>
          <w:szCs w:val="20"/>
        </w:rPr>
        <w:t xml:space="preserve"> Tableau, Power BI, Matplotlib, Seaborn,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DevOps:</w:t>
      </w:r>
      <w:r w:rsidRPr="00745DD3">
        <w:rPr>
          <w:rFonts w:ascii="Roboto Light" w:eastAsia="Roboto Light" w:hAnsi="Roboto Light" w:cs="Roboto Light"/>
          <w:color w:val="404040" w:themeColor="text1" w:themeTint="BF"/>
          <w:sz w:val="20"/>
          <w:szCs w:val="20"/>
        </w:rPr>
        <w:t xml:space="preserve"> Docker, Kubernetes, AWS, Azure, GCP,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Advertising Technologies:</w:t>
      </w:r>
      <w:r w:rsidRPr="00745DD3">
        <w:rPr>
          <w:rFonts w:ascii="Roboto Light" w:eastAsia="Roboto Light" w:hAnsi="Roboto Light" w:cs="Roboto Light"/>
          <w:color w:val="404040" w:themeColor="text1" w:themeTint="BF"/>
          <w:sz w:val="20"/>
          <w:szCs w:val="20"/>
        </w:rPr>
        <w:t xml:space="preserve"> Google Ads, Facebook Ads, Meta Pixel, DoubleClick, The Trade Desk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deployment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enhanced ad performance, resulting in actionable insights for clients, while actively collaborating with internal teams to bridge product goals with analytical methods and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efforts towards optimizing </w:t>
      </w:r>
      <w:r w:rsidRPr="00745DD3">
        <w:rPr>
          <w:rFonts w:ascii="Roboto Light" w:eastAsia="Roboto Light" w:hAnsi="Roboto Light" w:cs="Roboto Light"/>
          <w:b/>
          <w:bCs/>
          <w:color w:val="404040" w:themeColor="text1" w:themeTint="BF"/>
          <w:sz w:val="20"/>
          <w:szCs w:val="20"/>
        </w:rPr>
        <w:t xml:space="preserve">media performance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advanced statistical techniques and causal inference methods to derive key insights and improve advertising strategies for high-value accounts, showcasing adaptive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data pipelines that integrated vast datasets,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models were not only accurate but also scalable to meet evolving client demands across various advertising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Directly engaged with clients to interpret complex </w:t>
      </w:r>
      <w:r w:rsidRPr="00745DD3">
        <w:rPr>
          <w:rFonts w:ascii="Roboto Light" w:eastAsia="Roboto Light" w:hAnsi="Roboto Light" w:cs="Roboto Light"/>
          <w:b/>
          <w:bCs/>
          <w:color w:val="404040" w:themeColor="text1" w:themeTint="BF"/>
          <w:sz w:val="20"/>
          <w:szCs w:val="20"/>
        </w:rPr>
        <w:t xml:space="preserve">model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results and provide strategic recommendations, fostering strong relationships to ensure alignment on objectives and accountability for outcomes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prototyping of new analytics tools, leveraging both technical and domain knowledge to facilitate quick iterations and feedback loops to meet client needs and drive product innovation within the cross-functional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engineers to ensure seamless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production systems, focusing on stable, efficient deployments that adhere to best practices in software engineering and data management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experimentation cycles, employing techniques like </w:t>
      </w:r>
      <w:r w:rsidRPr="00745DD3">
        <w:rPr>
          <w:rFonts w:ascii="Roboto Light" w:eastAsia="Roboto Light" w:hAnsi="Roboto Light" w:cs="Roboto Light"/>
          <w:b/>
          <w:bCs/>
          <w:color w:val="404040" w:themeColor="text1" w:themeTint="BF"/>
          <w:sz w:val="20"/>
          <w:szCs w:val="20"/>
        </w:rPr>
        <w:t xml:space="preserve">geo holdouts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diff-in-diff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effectiveness of advertising strategies, driving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client feedback into actionable product improvements, serving as the primary liaison between external stakeholders and internal teams, which helped enhance the overall functionality and usability of core data science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w:t>
      </w:r>
      <w:r w:rsidRPr="00745DD3">
        <w:rPr>
          <w:rFonts w:ascii="Roboto Light" w:eastAsia="Roboto Light" w:hAnsi="Roboto Light" w:cs="Roboto Light"/>
          <w:b/>
          <w:bCs/>
          <w:color w:val="404040" w:themeColor="text1" w:themeTint="BF"/>
          <w:sz w:val="20"/>
          <w:szCs w:val="20"/>
        </w:rPr>
        <w:t xml:space="preserve">targeting strategy refinement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analyzing segmented user data, translating findings into tailored advertising tactics that improved engagement and click-through rates, while reducing customer acquisition costs for promoted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standard operating procedures for model interpretability and </w:t>
      </w:r>
      <w:r w:rsidRPr="00745DD3">
        <w:rPr>
          <w:rFonts w:ascii="Roboto Light" w:eastAsia="Roboto Light" w:hAnsi="Roboto Light" w:cs="Roboto Light"/>
          <w:b/>
          <w:bCs/>
          <w:color w:val="404040" w:themeColor="text1" w:themeTint="BF"/>
          <w:sz w:val="20"/>
          <w:szCs w:val="20"/>
        </w:rPr>
        <w:t xml:space="preserve">performance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training sessions for stakeholders to improve understanding and facilitate adoption throughout client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w:t>
      </w:r>
      <w:r w:rsidRPr="00745DD3">
        <w:rPr>
          <w:rFonts w:ascii="Roboto Light" w:eastAsia="Roboto Light" w:hAnsi="Roboto Light" w:cs="Roboto Light"/>
          <w:b/>
          <w:bCs/>
          <w:color w:val="404040" w:themeColor="text1" w:themeTint="BF"/>
          <w:sz w:val="20"/>
          <w:szCs w:val="20"/>
        </w:rPr>
        <w:t xml:space="preserve">lift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incremental gains from advertising strategies, demonstrating value to clients through well-structured reports that enhanced transparency and informed future campaign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research initiative focused on identity resolution and contextual targeting that informed new feature development, establishing groundwork to stay competitive in the evolving digital advertising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effectively in an ambiguous environment, utilizing an entrepreneurial mindset to develop ownership of high-impact projects from inception to full deployment, constantly seeking innovative solutions to emerging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tested multiple </w:t>
      </w:r>
      <w:r w:rsidRPr="00745DD3">
        <w:rPr>
          <w:rFonts w:ascii="Roboto Light" w:eastAsia="Roboto Light" w:hAnsi="Roboto Light" w:cs="Roboto Light"/>
          <w:b/>
          <w:bCs/>
          <w:color w:val="404040" w:themeColor="text1" w:themeTint="BF"/>
          <w:sz w:val="20"/>
          <w:szCs w:val="20"/>
        </w:rPr>
        <w:t xml:space="preserve">feature transformations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model input quality, enhancing overall analytical outcomes and ensuring tailored responses to unique client challenges across the data science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the team's </w:t>
      </w:r>
      <w:r w:rsidRPr="00745DD3">
        <w:rPr>
          <w:rFonts w:ascii="Roboto Light" w:eastAsia="Roboto Light" w:hAnsi="Roboto Light" w:cs="Roboto Light"/>
          <w:b/>
          <w:bCs/>
          <w:color w:val="404040" w:themeColor="text1" w:themeTint="BF"/>
          <w:sz w:val="20"/>
          <w:szCs w:val="20"/>
        </w:rPr>
        <w:t xml:space="preserve">analytics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best practices in data handling and model training to optimize workflows and deliver timely insights to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and 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enhanced user experiences and operational efficiency, showcasing a strong foundation in both software engineering and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deliver innovative solutions that improved product performance, actively participating in design discussions while promoting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verification and validation of complex models to ensure robustness and accuracy, utilizing tools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analysis alongside software engineering best practices for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architectural design documents for data-oriented applications, ensuring the software met high standards of quality,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the company's data processing capabilities using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AWS, ensuring scalability and flexibility in data handling for future analytics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lifecycle management through Agile methodologies, employing effective communication skills to facilitate seamless team collaboration and iterative improvement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internal data products through hands-on experience with data visualization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analytical capabilities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internal digital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productivity by automating manual processes and minimizing operational bottlenecks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marketing team to design data-driven strategies that utilized A/B testing methodologies, resulting in improved customer engagement and retention outcomes for diverse client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exemplary technical support and guidance to junior engineers, fostering a culture of knowledge-sharing and continuous learning, thereby upskilling the team on emerging tools and technologies relevant to current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platforms to manage coding projects effectively, ensuring transparency and facilitating collaboration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seamless data exchange between applications, which enhanced overall operational efficiency and data consistency while adhering to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