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visionary executive leader with 11 years of robust experience in software development. Proven expertise in generative AI, cloud architectures, and enterprise solutions, with a strong emphasis on building scalable applications and driving technology strategies for diverse industries. Exceptional at bridging technical concepts with business needs to foster collaboration and optimize results. Commended for technical evangelism, strategic foresight,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Ruby on Rails, Angular, Flask,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Kubernetes, Docker,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AI:</w:t>
      </w:r>
      <w:r w:rsidRPr="00745DD3">
        <w:rPr>
          <w:rFonts w:ascii="Roboto Light" w:eastAsia="Roboto Light" w:hAnsi="Roboto Light" w:cs="Roboto Light"/>
          <w:color w:val="404040" w:themeColor="text1" w:themeTint="BF"/>
          <w:sz w:val="20"/>
          <w:szCs w:val="20"/>
        </w:rPr>
        <w:t xml:space="preserve"> TensorFlow, PyTorch, SQL, NoSQL, Elasticsearch, Apache Kafka,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Networking:</w:t>
      </w:r>
      <w:r w:rsidRPr="00745DD3">
        <w:rPr>
          <w:rFonts w:ascii="Roboto Light" w:eastAsia="Roboto Light" w:hAnsi="Roboto Light" w:cs="Roboto Light"/>
          <w:color w:val="404040" w:themeColor="text1" w:themeTint="BF"/>
          <w:sz w:val="20"/>
          <w:szCs w:val="20"/>
        </w:rPr>
        <w:t xml:space="preserve"> OAuth, JWT, Zero Trust, SSL/TLS, VPN, Firewalls, Intrusion Detection Systems, API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scalable enterprise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through machine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knowledge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enterprise AI adoption, advising clients on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ensuring compliance with best practices, thus promoting robust enterprise infrastructures and effective data management solutions to reduce fragmentation.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and external partners to drive product adoption, elevating Glean's </w:t>
      </w:r>
      <w:r w:rsidRPr="00745DD3">
        <w:rPr>
          <w:rFonts w:ascii="Roboto Light" w:eastAsia="Roboto Light" w:hAnsi="Roboto Light" w:cs="Roboto Light"/>
          <w:b/>
          <w:bCs/>
          <w:color w:val="404040" w:themeColor="text1" w:themeTint="BF"/>
          <w:sz w:val="20"/>
          <w:szCs w:val="20"/>
        </w:rPr>
        <w:t xml:space="preserve">real-time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through innovative technologies, thus maximizing business impact across various industry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evangelist, speaking at industry conferences about advances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community relationships, and positioning Glean as a thought leader in enterprise AI solutions that bridge knowledge gaps.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C-level executives to shape alignment between business objectives and Glean’s technical offerings, demonstrating deep understanding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SaaS architecture for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multidisciplinary teams in employing agile methodologies, fostering an environment of open communication and collaboration to achieve strategic objectives while maintaining high quality in product delivery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MEDDPICC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discovery and qualification processes; facilitated comprehensive technical discussions that informed product roadmaps and client solutions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enterprise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with existing CRMs and ERPs, ensuring cybersecurity standards were met, which empowered organizations to leverage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securely 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cross-training teams on </w:t>
      </w:r>
      <w:r w:rsidRPr="00745DD3">
        <w:rPr>
          <w:rFonts w:ascii="Roboto Light" w:eastAsia="Roboto Light" w:hAnsi="Roboto Light" w:cs="Roboto Light"/>
          <w:b/>
          <w:bCs/>
          <w:color w:val="404040" w:themeColor="text1" w:themeTint="BF"/>
          <w:sz w:val="20"/>
          <w:szCs w:val="20"/>
        </w:rPr>
        <w:t xml:space="preserve">advanced AI reasoning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organizational capability to deploy innovative solutions in response to emerging enterprise-level challenges in knowledge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direction of Glean’s product roadmaps by channeling client feedback into technical requirements, prioritizing enhancements that drive value and adoption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while ensuring high availability and low-latency service across hybrid environments, improving user experience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high-stakes discussions with partners to structure deals that align Glean's technology with evolving client demands, demonstrating proficiency in </w:t>
      </w:r>
      <w:r w:rsidRPr="00745DD3">
        <w:rPr>
          <w:rFonts w:ascii="Roboto Light" w:eastAsia="Roboto Light" w:hAnsi="Roboto Light" w:cs="Roboto Light"/>
          <w:b/>
          <w:bCs/>
          <w:color w:val="404040" w:themeColor="text1" w:themeTint="BF"/>
          <w:sz w:val="20"/>
          <w:szCs w:val="20"/>
        </w:rPr>
        <w:t xml:space="preserve">enterprise 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solution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company’s visibility in the AI community through thought leadership and participation in industry forums, raising awareness of Glean's innovative capabilities and fostering dialogue on future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Fortune 100 clients, serving as their trusted advisor for navigating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ensuring their strategic goals aligned with technology adoption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industry conversations around enterprise AI by orchestrating events that highlight successful applications of Glean’s platform, further establishing its reputation as an essential tool in the transformation of knowledge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of software engineers in building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delivery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enterprise features for a leading SaaS product,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resource utilization and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functionality and performance through deep engagement in the full software development lifecycle,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and encourage adherence to project milestones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integration between various enterprise applications, thus improving client operational efficiencies and workflow coordination.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audits and risk assessments to safeguard applications, implementing best practices in data encryption and </w:t>
      </w:r>
      <w:r w:rsidRPr="00745DD3">
        <w:rPr>
          <w:rFonts w:ascii="Roboto Light" w:eastAsia="Roboto Light" w:hAnsi="Roboto Light" w:cs="Roboto Light"/>
          <w:b/>
          <w:bCs/>
          <w:color w:val="404040" w:themeColor="text1" w:themeTint="BF"/>
          <w:sz w:val="20"/>
          <w:szCs w:val="20"/>
        </w:rPr>
        <w:t xml:space="preserve">zero trust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client information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indexing and searching functionalities, significantly improving response times for search queries and ensuring high-performance access to information 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creating an environment for skill enhancement in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a culture of continuous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gather requirements for new features, ensuring that development efforts aligned with business needs and financial objectives in the competitive SaaS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refine product offerings, embracing a user-centered design approach that addressed core challenges and provided immediate value to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software architecture and design principles which served as a vital resource for onboarding team members and maintaining alignment throughout project lifecycles and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continuous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strategies within deployed applications, thus ensuring faster identification of issues and improved overall application resilience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teamwork with UX/UI designers to innovate user-friendly interfaces while connecting clients with insights that drive performance, resulting in increased engagement rates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