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focusing on web and mobile applications. Proven ability to mentor and guide high school students in the field of artificial intelligence, data, and STEM careers.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R, TypeScript, Swift,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w:t>
      </w:r>
      <w:r w:rsidRPr="00745DD3">
        <w:rPr>
          <w:rFonts w:ascii="Roboto Light" w:eastAsia="Roboto Light" w:hAnsi="Roboto Light" w:cs="Roboto Light"/>
          <w:color w:val="404040" w:themeColor="text1" w:themeTint="BF"/>
          <w:sz w:val="20"/>
          <w:szCs w:val="20"/>
        </w:rPr>
        <w:t xml:space="preserve"> TensorFlow, PyTorch, Scikit-learn, NLTK, Keras, OpenCV,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Node.js, Django, Flask, Express.js,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SQL, NoSQL, MongoDB, PostgreSQL, Tableau, PowerBI, Apache Spark,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Git, Jenkins, Terraform, AWS, Azure, Google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panel discussion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career pathways for high school students, effectively communicating complex topics in accessible terms while empowering them to pursue STEM education and practical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Correlation One staff to develop engaging content, ensuring a diverse range of voices and experiences to enrich the learning environment and encourage inclusive participation from all students.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insights to provide actionable career guidance, helping students understand the landscape of the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industry and the skills necessary to navigate their future career paths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delivered high-quality content effectively tailored to a young audience, demonstrating a deep understanding of educational methodologies that connect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with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gamification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engage students, fostering an interactive learning experience that encourages critical thinking and problem-solving in the context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careers.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Received positive feedback from students on presentation style and engagement during sessions, demonstrating the ability to adapt communication methods for diverse learning styles and levels of comprehension.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to promote equity and accessibility in education, actively working towards dismantling barriers for underrepresented communities in the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industry and advocating for mentorship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personal career journey and professional insights to inspire students, facilitating discussions on overcoming challenges and leveraging resources available for a successful transition into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fields.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organizations to align on themes and logistics, ensuring seamless integration of various perspectives in the expert panel and reinforcing the importance of collaboration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feedback sessions with Correlation One team to continuously improve program delivery and content relevance, fostering a culture of learning and adaptability to evolving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supportive and positive virtual classroom environments, ensuring students felt motivated and respected, which in turn enhanced their learning and participation in discussions around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STEM careers.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user experiences across web and mobile platforms while leading team efforts in best coding practices and software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existing applications, enhancing real-time analytics and decision-making processes through effective use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high school students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fostering an environment of collaborative learning and ensuring effective knowledge transfer of complex programming concepts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machine learning models and predictive analytics solutions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operational efficiency and client decision-making in data-driven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systems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mobile applications, ensuring high performance and reliability, while continuously optimizing code to meet evolving project requirements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demonstrations, providing constructive feedback and sharing innovative solutions to elevate product quality and enhance team collaboration for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deployment and scaling of applications in cloud environments, promoting continuous integration and continuous deployment (CI/CD) practices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practices, facilitating sprint planning and retrospectives to improve processes, foster communication, and enhance team dynamics, ensuring alignment with project goals and timelines for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utilizing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secure methods for data handling, authentication, and user management to safeguard user information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identify opportunities for enhancement in existing applications, collaborating with design and product teams to prioritize updates and new feature developments for improved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emerging technologies and trends within the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 advocating for the inclusion of innovative practices that promote efficiency and user engagement in engineering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