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Enterprise Sales Engineer with 11 years of experience in software development, specializing in web and mobile applications. Expertise in technical sales, providing exceptional client education, and translating complex technology into clear business outcomes. Proven track record in Java, Python, and cloud technologies, enabling successful customer engagements and product implementations. Adept in performing competitive analyses and crafting tailored solutions that align with client demands.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Ruby, Go, Node.js, PHP,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Technologies:</w:t>
      </w:r>
      <w:r w:rsidRPr="00745DD3">
        <w:rPr>
          <w:rFonts w:ascii="Roboto Light" w:eastAsia="Roboto Light" w:hAnsi="Roboto Light" w:cs="Roboto Light"/>
          <w:color w:val="404040" w:themeColor="text1" w:themeTint="BF"/>
          <w:sz w:val="20"/>
          <w:szCs w:val="20"/>
        </w:rPr>
        <w:t xml:space="preserve"> React, Angular, Django, Flask, Spring Boot, Express.js, .NET Core,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Tools:</w:t>
      </w:r>
      <w:r w:rsidRPr="00745DD3">
        <w:rPr>
          <w:rFonts w:ascii="Roboto Light" w:eastAsia="Roboto Light" w:hAnsi="Roboto Light" w:cs="Roboto Light"/>
          <w:color w:val="404040" w:themeColor="text1" w:themeTint="BF"/>
          <w:sz w:val="20"/>
          <w:szCs w:val="20"/>
        </w:rPr>
        <w:t xml:space="preserve"> PostgreSQL, MySQL, MongoDB, Redis, Cassandra, Elasticsearch,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and Sales Tools:</w:t>
      </w:r>
      <w:r w:rsidRPr="00745DD3">
        <w:rPr>
          <w:rFonts w:ascii="Roboto Light" w:eastAsia="Roboto Light" w:hAnsi="Roboto Light" w:cs="Roboto Light"/>
          <w:color w:val="404040" w:themeColor="text1" w:themeTint="BF"/>
          <w:sz w:val="20"/>
          <w:szCs w:val="20"/>
        </w:rPr>
        <w:t xml:space="preserve"> Salesforce, Slack, HubSpot, Zendesk, JIRA, Trello, Confluence, Pipedrive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Sales team to articulate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value propositions, enhancing customer understanding of observability tools and mapping them to business requirements in various industries, including finance and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technical briefings for clients, showcasing the features of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consistently addressing their queries, which solidified our advocacy as trusted technical partners throughout the sales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presentation sessions for potential clients during the proof of value phase, ensuring they grasped all aspects of </w:t>
      </w:r>
      <w:r w:rsidRPr="00745DD3">
        <w:rPr>
          <w:rFonts w:ascii="Roboto Light" w:eastAsia="Roboto Light" w:hAnsi="Roboto Light" w:cs="Roboto Light"/>
          <w:b/>
          <w:bCs/>
          <w:color w:val="404040" w:themeColor="text1" w:themeTint="BF"/>
          <w:sz w:val="20"/>
          <w:szCs w:val="20"/>
        </w:rPr>
        <w:t xml:space="preserve">Datadog’s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mitigate observability challenges 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demos that illustrated the practical applications of </w:t>
      </w:r>
      <w:r w:rsidRPr="00745DD3">
        <w:rPr>
          <w:rFonts w:ascii="Roboto Light" w:eastAsia="Roboto Light" w:hAnsi="Roboto Light" w:cs="Roboto Light"/>
          <w:b/>
          <w:bCs/>
          <w:color w:val="404040" w:themeColor="text1" w:themeTint="BF"/>
          <w:sz w:val="20"/>
          <w:szCs w:val="20"/>
        </w:rPr>
        <w:t xml:space="preserve">Datadog's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observability solutions, significantly boosting interest during direct interactions with prospective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feedback and maintained meticulous documentation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our development teams to prioritize enhancements based on frontline insights from technical evaluations and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communication with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teams to relay customer technical needs, effectively bridging gaps between sales feedback and engineering roadmaps, thus aligning product features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by leveraging industry knowledge to deliver strategic insights to enhance our positioning against peer solutions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refining our sales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customers on mitigating observability risks by collaborating on tailored evaluation plans, enabling clients to understand the specific business impacts of adopting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cross-departmental collaborations to enhance product knowledge across technical and non-technical teams, fostering a culture of unified understanding of our technical offerings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customer-facing technical documentation that clarified the deployment and operationalization of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clients had access to necessary resources for success post-purchase.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new features of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client training sessions to empower users with the latest tools and capabilities for their observability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with client teams to troubleshoot issues and facilitate resolutions, thus maintaining high customer satisfaction and retention through improved application performance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technical engagements, translating robust product features into succinct business benefits that aligned with prospective clients' strategic goals and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development of </w:t>
      </w:r>
      <w:r w:rsidRPr="00745DD3">
        <w:rPr>
          <w:rFonts w:ascii="Roboto Light" w:eastAsia="Roboto Light" w:hAnsi="Roboto Light" w:cs="Roboto Light"/>
          <w:b/>
          <w:bCs/>
          <w:color w:val="404040" w:themeColor="text1" w:themeTint="BF"/>
          <w:sz w:val="20"/>
          <w:szCs w:val="20"/>
        </w:rPr>
        <w:t xml:space="preserve">Datadog’s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features by sharing deep insights gathered from client engagements and competitive evaluations, fostering an agile feedback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interests during internal product strategy meetings, ensuring that evolving client needs were incorporated into product management discussions to optimize satisfaction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and emerging trends in cloud observability technologies to enhance clients' operational efficiencies, thus reinforcing the value of our technical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scalable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improved performance and maintainability within high-demand enterprise environments, impacting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cross-functional collaboration protocols to ensure seamless integration of software solutions with client business processes, enhancing user experience through tailored technical support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data exchange between diverse systems, significantly enhancing data coherence and operational efficiency across integrated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integration/continuous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reduced release timelines and fostering a culture of rapid but reliable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reviews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optimizing the development workflow and ensuring that team outputs aligned with strategic business objectives and quality indicators.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high-quality user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user engagement and satisfaction through responsive design principles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for software products, ensuring clarity and ease of use for both technical and non-technical stakeholders within the client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software issues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enabling swift production diagnostics and resolution, thus maintaining optimal application performance and security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skill advancement and driving overall project quality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migrate legacy systems to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reducing operational costs significantly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 direct communication and feedback sessions to understand their unique business challenges, consistently providing tailored software development solutions to address their specific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advocating for the use of collaborative development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communication and project visibility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