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expertise in EDI solutions, familiar with HIPAA standards and SQL Server. Committed to leveraging technology to enhance organizational efficiency and patient 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ASP.NET, T-SQL, JavaScript, Python, HTML/CSS,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EDI Technologies:</w:t>
      </w:r>
      <w:r w:rsidRPr="00745DD3">
        <w:rPr>
          <w:rFonts w:ascii="Roboto Light" w:eastAsia="Roboto Light" w:hAnsi="Roboto Light" w:cs="Roboto Light"/>
          <w:color w:val="404040" w:themeColor="text1" w:themeTint="BF"/>
          <w:sz w:val="20"/>
          <w:szCs w:val="20"/>
        </w:rPr>
        <w:t xml:space="preserve"> HIPAA EDI, ANSI X12, EDI Mapping, HL7, EDI Testing, EDI Applications, Companion Guides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BizTalk Server, SQL Server Management Studio, PowerShell, SSIS, Git,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.NET Core, Entity Framework, Bootstrap, jQuery,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Management:</w:t>
      </w:r>
      <w:r w:rsidRPr="00745DD3">
        <w:rPr>
          <w:rFonts w:ascii="Roboto Light" w:eastAsia="Roboto Light" w:hAnsi="Roboto Light" w:cs="Roboto Light"/>
          <w:color w:val="404040" w:themeColor="text1" w:themeTint="BF"/>
          <w:sz w:val="20"/>
          <w:szCs w:val="20"/>
        </w:rPr>
        <w:t xml:space="preserve"> Microsoft SQL Server 2008R2, Database Design, Stored Procedures, Data Warehousing, Data Migration, Reporting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EDI solutions, specifically addressing </w:t>
      </w:r>
      <w:r w:rsidRPr="00745DD3">
        <w:rPr>
          <w:rFonts w:ascii="Roboto Light" w:eastAsia="Roboto Light" w:hAnsi="Roboto Light" w:cs="Roboto Light"/>
          <w:b/>
          <w:bCs/>
          <w:color w:val="404040" w:themeColor="text1" w:themeTint="BF"/>
          <w:sz w:val="20"/>
          <w:szCs w:val="20"/>
        </w:rPr>
        <w:t xml:space="preserve">HIPAA EDI transactions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270/271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837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 ensuring compliance and effective data interchange within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comprehensive data operations and optimize the performance of </w:t>
      </w:r>
      <w:r w:rsidRPr="00745DD3">
        <w:rPr>
          <w:rFonts w:ascii="Roboto Light" w:eastAsia="Roboto Light" w:hAnsi="Roboto Light" w:cs="Roboto Light"/>
          <w:b/>
          <w:bCs/>
          <w:color w:val="404040" w:themeColor="text1" w:themeTint="BF"/>
          <w:sz w:val="20"/>
          <w:szCs w:val="20"/>
        </w:rPr>
        <w:t xml:space="preserve">Vendor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responsiveness and transaction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impact analyses on existing systems to align technology with evolving business needs, showcasing adaptability in complex environments and facilitating effective software upgrades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mapping for </w:t>
      </w:r>
      <w:r w:rsidRPr="00745DD3">
        <w:rPr>
          <w:rFonts w:ascii="Roboto Light" w:eastAsia="Roboto Light" w:hAnsi="Roboto Light" w:cs="Roboto Light"/>
          <w:b/>
          <w:bCs/>
          <w:color w:val="404040" w:themeColor="text1" w:themeTint="BF"/>
          <w:sz w:val="20"/>
          <w:szCs w:val="20"/>
        </w:rPr>
        <w:t xml:space="preserve">ANSI HIPAA EDI files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requirements into functional code and ensuring seamless onboarding of new </w:t>
      </w:r>
      <w:r w:rsidRPr="00745DD3">
        <w:rPr>
          <w:rFonts w:ascii="Roboto Light" w:eastAsia="Roboto Light" w:hAnsi="Roboto Light" w:cs="Roboto Light"/>
          <w:b/>
          <w:bCs/>
          <w:color w:val="404040" w:themeColor="text1" w:themeTint="BF"/>
          <w:sz w:val="20"/>
          <w:szCs w:val="20"/>
        </w:rPr>
        <w:t xml:space="preserve">EDI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project teams to outline specifications and implement solutions within the </w:t>
      </w:r>
      <w:r w:rsidRPr="00745DD3">
        <w:rPr>
          <w:rFonts w:ascii="Roboto Light" w:eastAsia="Roboto Light" w:hAnsi="Roboto Light" w:cs="Roboto Light"/>
          <w:b/>
          <w:bCs/>
          <w:color w:val="404040" w:themeColor="text1" w:themeTint="BF"/>
          <w:sz w:val="20"/>
          <w:szCs w:val="20"/>
        </w:rPr>
        <w:t xml:space="preserve">SDLC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a culture of innovation and thorough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analysis on system processes to emerge as the subject matter expert, offering insight into </w:t>
      </w:r>
      <w:r w:rsidRPr="00745DD3">
        <w:rPr>
          <w:rFonts w:ascii="Roboto Light" w:eastAsia="Roboto Light" w:hAnsi="Roboto Light" w:cs="Roboto Light"/>
          <w:b/>
          <w:bCs/>
          <w:color w:val="404040" w:themeColor="text1" w:themeTint="BF"/>
          <w:sz w:val="20"/>
          <w:szCs w:val="20"/>
        </w:rPr>
        <w:t xml:space="preserve">QNX core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inter-relations within the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communication and problem resolution for ongoing issues, elevating technical debts while fostering partnerships with business stakeholders to align IT solutions with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emphasizing the importance of </w:t>
      </w:r>
      <w:r w:rsidRPr="00745DD3">
        <w:rPr>
          <w:rFonts w:ascii="Roboto Light" w:eastAsia="Roboto Light" w:hAnsi="Roboto Light" w:cs="Roboto Light"/>
          <w:b/>
          <w:bCs/>
          <w:color w:val="404040" w:themeColor="text1" w:themeTint="BF"/>
          <w:sz w:val="20"/>
          <w:szCs w:val="20"/>
        </w:rPr>
        <w:t xml:space="preserve">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applications, designing strategies to streamline the integration of upgraded software systems and minimizing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disaster recovery planning, defining procedures and recovery strategies for data integrity, while collaborating with stakeholders to ensure continuous adherence to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requirements gathering along with end-users to ensure clarity in information needs, translating business requirements into actionable specifications for robust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testing protocols to validate unit tests for application enhancements, delivering quality assurance processes that meet the standards of </w:t>
      </w:r>
      <w:r w:rsidRPr="00745DD3">
        <w:rPr>
          <w:rFonts w:ascii="Roboto Light" w:eastAsia="Roboto Light" w:hAnsi="Roboto Light" w:cs="Roboto Light"/>
          <w:b/>
          <w:bCs/>
          <w:color w:val="404040" w:themeColor="text1" w:themeTint="BF"/>
          <w:sz w:val="20"/>
          <w:szCs w:val="20"/>
        </w:rPr>
        <w:t xml:space="preserve">mass healthcare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Drived initiatives to track and monitor problem tickets, achieving notable response and resolution times while improving service delivery and customer experiences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documentation of technical processes, promoting best practice standards throughout the organization and ensuring transparency with cross-border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methodologies for </w:t>
      </w:r>
      <w:r w:rsidRPr="00745DD3">
        <w:rPr>
          <w:rFonts w:ascii="Roboto Light" w:eastAsia="Roboto Light" w:hAnsi="Roboto Light" w:cs="Roboto Light"/>
          <w:b/>
          <w:bCs/>
          <w:color w:val="404040" w:themeColor="text1" w:themeTint="BF"/>
          <w:sz w:val="20"/>
          <w:szCs w:val="20"/>
        </w:rPr>
        <w:t xml:space="preserve">Problem Analysis and Resolution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support structure for new and existing applications, thus improving operational workflows and reducing overhead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supporting system changes, highlighting the need for updated user guides and technical manuals to aid in development practices and user training.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facilitating the integration of healthcare tools for better operational efficiency within a large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ensure the successful delivery of </w:t>
      </w:r>
      <w:r w:rsidRPr="00745DD3">
        <w:rPr>
          <w:rFonts w:ascii="Roboto Light" w:eastAsia="Roboto Light" w:hAnsi="Roboto Light" w:cs="Roboto Light"/>
          <w:b/>
          <w:bCs/>
          <w:color w:val="404040" w:themeColor="text1" w:themeTint="BF"/>
          <w:sz w:val="20"/>
          <w:szCs w:val="20"/>
        </w:rPr>
        <w:t xml:space="preserve">project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timelines and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solutions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analytical capabilities across the organization and allowing for more informed decision-making regarding clinical and operational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wide range of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developments, enriching user experiences and ensuring the seamless operation of interactive modules integral to business success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exchange mechanisms while supporting intra-application data transfers, thus improving data consistency across multiple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integrated healthcare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incorporating </w:t>
      </w:r>
      <w:r w:rsidRPr="00745DD3">
        <w:rPr>
          <w:rFonts w:ascii="Roboto Light" w:eastAsia="Roboto Light" w:hAnsi="Roboto Light" w:cs="Roboto Light"/>
          <w:b/>
          <w:bCs/>
          <w:color w:val="404040" w:themeColor="text1" w:themeTint="BF"/>
          <w:sz w:val="20"/>
          <w:szCs w:val="20"/>
        </w:rPr>
        <w:t xml:space="preserve">QNXT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simultaneously supporting the integration of complex transaction formats and ensuring adherence to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stakeholders to align technological implementations with business objectives, conducting presentations and status updates to streamline communication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software development best practices through regular code reviews, ensuring high-quality deliverables that meet assigned specifications while minimizing potential risks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enhancing team capabilities and fostering a culture of continuous learning while contributing to professional development initiatives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w:t>
      </w:r>
      <w:r w:rsidRPr="00745DD3">
        <w:rPr>
          <w:rFonts w:ascii="Roboto Light" w:eastAsia="Roboto Light" w:hAnsi="Roboto Light" w:cs="Roboto Light"/>
          <w:b/>
          <w:bCs/>
          <w:color w:val="404040" w:themeColor="text1" w:themeTint="BF"/>
          <w:sz w:val="20"/>
          <w:szCs w:val="20"/>
        </w:rPr>
        <w:t xml:space="preserve">SQL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transactional processes, advocating for technological advancements to meet the growing demands of healthcare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with operational tools, ultimately improving turnaround times and facilitating timely application rollouts with minimal disruption to existing workflows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specifications for new features and enhancements, communicating effectively with project stakeholders to ensure alignment with the overall organizational strategy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