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focused on web and mobile applications. Adept in leading cybersecurity initiatives, ensuring compliance, and protecting sensitive information to improve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Ruby,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Node.js, Express.js, Spring Boot,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Microsoft Azure, Heroku, Firebase,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SOC-2, HITRUST, HIPAA, GDPR, CISSP, ISO 27001, NIST, Vulnerability Scanning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GitLab CI, CircleCI, Travis CI, Ansible, Puppet, Chef,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MS Office, Salesforce, NetSuite, GSuite, JIRA, Confluence,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multi-disciplinary teams in conducting internal and third-party audits, resulting in improved compliance with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fostering a culture of accountability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strategies for privacy and security, enhancing patient data protection and ensuring adherence to the latest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through rigorous stakeholder engagement and process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executive leadership to define strategic priorities related to privacy and security, driving initiatives that integrated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organizational procedures and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roadmap that facilitated new system deployments and integrations, ensuring alignment with industry best practices and regulatory requirements to safeguard sensitive patient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enterprise systems administration and optimization, streamlining the utilization of APIs and integrations with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critical applications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vulnerability remediation efforts, employing tools such as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risks while reinforcing organizational resilience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data security and privacy teams during vendor assessments, demonstrating competency and confidence to stakeholders while effectively communicating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timelines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incorporate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into product development cycles, resulting in the successful launch of secure software solutions aligned with patient care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routine compliance activities, enhancing infrastructure hardening and monitoring through established protocols and advanced tools, ensuring a proactive approach to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breach prevention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project management and agile methods to enhance cross-functional collaboration, balancing wide-ranging team priorities and driving continuous improvement in how </w:t>
      </w:r>
      <w:r w:rsidRPr="00745DD3">
        <w:rPr>
          <w:rFonts w:ascii="Roboto Light" w:eastAsia="Roboto Light" w:hAnsi="Roboto Light" w:cs="Roboto Light"/>
          <w:b/>
          <w:bCs/>
          <w:color w:val="404040" w:themeColor="text1" w:themeTint="BF"/>
          <w:sz w:val="20"/>
          <w:szCs w:val="20"/>
        </w:rPr>
        <w:t xml:space="preserve">IT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operates to maintain high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programs to elevate the security awareness of internal stakeholders, cultivating a culture of compliance and proactive user engagement while adhering to the </w:t>
      </w:r>
      <w:r w:rsidRPr="00745DD3">
        <w:rPr>
          <w:rFonts w:ascii="Roboto Light" w:eastAsia="Roboto Light" w:hAnsi="Roboto Light" w:cs="Roboto Light"/>
          <w:b/>
          <w:bCs/>
          <w:color w:val="404040" w:themeColor="text1" w:themeTint="BF"/>
          <w:sz w:val="20"/>
          <w:szCs w:val="20"/>
        </w:rPr>
        <w:t xml:space="preserve">company's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IT policies and procedures, establishing a transparent framework for compliance that supports both internal and external audits with confidence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healthy debate and curiosity, encouraging teams to innovate and question existing processes while striving for greater achievements and better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w:t>
      </w:r>
      <w:r w:rsidRPr="00745DD3">
        <w:rPr>
          <w:rFonts w:ascii="Roboto Light" w:eastAsia="Roboto Light" w:hAnsi="Roboto Light" w:cs="Roboto Light"/>
          <w:b/>
          <w:bCs/>
          <w:color w:val="404040" w:themeColor="text1" w:themeTint="BF"/>
          <w:sz w:val="20"/>
          <w:szCs w:val="20"/>
        </w:rPr>
        <w:t xml:space="preserve">GRC/ISS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initiatives were effectively communicated and operationalized throughout the organization to reinforce our commitment to patient privacy and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compliance questionnaires and inquiries from prospective clients, showcasing the organization's commitment to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care during the sales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experiences while integrating robust security features in alignment with healthcare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streamline project workflows using agile methodologies, significantly enhancing project delivery timelines while fostering a spirit of teamwork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w:t>
      </w:r>
      <w:r w:rsidRPr="00745DD3">
        <w:rPr>
          <w:rFonts w:ascii="Roboto Light" w:eastAsia="Roboto Light" w:hAnsi="Roboto Light" w:cs="Roboto Light"/>
          <w:b/>
          <w:bCs/>
          <w:color w:val="404040" w:themeColor="text1" w:themeTint="BF"/>
          <w:sz w:val="20"/>
          <w:szCs w:val="20"/>
        </w:rPr>
        <w:t xml:space="preserve">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reducing costs, and improving data processing speeds to better serve healthcare providers and patients.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security and application performance to support healthcare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debugging, and documentation of software products, ensuring compliance with industry standards and maintaining high quality while adapting to fast-paced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databases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offer secure storage solutions for sensitive patient data with efficient retrieval and management capacity.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promoting transparency and facilitating effective communication among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ensuring best practices for application security were adhered to, while mentoring junior developers on technical excellence and career growth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service functionalities in applications, facilitating seamless interactions for users while adhering to security and compliance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disaster recovery planning and execution, enhancing system resiliency to meet stringent </w:t>
      </w:r>
      <w:r w:rsidRPr="00745DD3">
        <w:rPr>
          <w:rFonts w:ascii="Roboto Light" w:eastAsia="Roboto Light" w:hAnsi="Roboto Light" w:cs="Roboto Light"/>
          <w:b/>
          <w:bCs/>
          <w:color w:val="404040" w:themeColor="text1" w:themeTint="BF"/>
          <w:sz w:val="20"/>
          <w:szCs w:val="20"/>
        </w:rPr>
        <w:t xml:space="preserve">business continuity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in a healthcare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frameworks, assessing their applicability and potential benefits for optimizing existing software infrastructure and improving patient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workshops focused on enhancing collaboration and innovation, implementing valuable insights to improve the overall product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