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professional with 11 years of experience in software development, focusing on scalable SaaS solutions and high-performance web and mobile applications. Proven expertise in aligning engineering strategies with business goals, leading diverse teams, and implementing innovative technologies to enhance productivity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PHP,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Firebase, Redis,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Confluence, Git, Visual Studio Code, Eclipse, Apache,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the vision for engineering within the organization, leading to strategic alignment of technology initiatives with overarching business objectives and enhancing operational efficiency while driving innovative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teams to scale engineering capabilities and processes, promoting a cultural focus on innovation, collaboration, and user-centric design practices that foster continuous improvement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adoption of contemporary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cloud-based deployments and microservices architectures, drastically improving system scalability and application reliability in the company’s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engineering leaders and individual contributors, instilling best practices in coding and agile methodologies, which significantly enhanced team performance and boosted overall productivity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engineering processes for delivering high-quality software, leveraging metrics for continuous assessment that resulted in timely releases and enhanced compliance with data regulations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user experience teams to ensure alignment of engineering outputs with customer requirements, leading to superior product quality and improved user satisfaction metrics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technology assessments for M&amp;A due diligence, guiding successful integration planning for acquired technologies, thus optimizing resource allocation and enhancing the company’s service portfolio in the food manufacturing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accountability and performance tracking, utilizing KPIs and clear reporting mechanisms to guide teams toward goal-oriented achievements while promoting a focus on results and impact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cutting-edge automation tools to streamline engineering workflows, which markedly reduced repetitive tasks and allowed for heightened resource focus on strategic development initiatives that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regularly align priorities for technology projects, ensuring that engineering advancements consistently addressed market trends and customer demands amidst evolving industry challenges and opportunities in </w:t>
      </w:r>
      <w:r w:rsidRPr="00745DD3">
        <w:rPr>
          <w:rFonts w:ascii="Roboto Light" w:eastAsia="Roboto Light" w:hAnsi="Roboto Light" w:cs="Roboto Light"/>
          <w:b/>
          <w:bCs/>
          <w:color w:val="404040" w:themeColor="text1" w:themeTint="BF"/>
          <w:sz w:val="20"/>
          <w:szCs w:val="20"/>
        </w:rPr>
        <w:t xml:space="preserve">food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project landscapes through effective risk management practices, ensuring that all engineering projects were executed with high standards of quality while maintaining project timelines and budget constraints.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high-performance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seamlessly integrated with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infrastructure for customer-facing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development practices,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lead cross-functional teams in delivering high-quality software solutions that effectively meet business requirements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by implementing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authentication protocols, safeguarding user data and ensuring compliance with industry standards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catering to millions of users, applying extensive knowledge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notably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functionalities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efforts across multiple stakeholders to define project goals, ensuring that engineering teams adhered to timelines and delivery expectations while maintaining quality standards across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process improvements through regular retrospectives and feedback sessions, fostering a culture of iterative enhancement in both team dynamics and code quality during all phases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transition legacy systems to modern frameworks, dramatically improving application performance and maintainability with contemporary languages and tools such as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expertise in </w:t>
      </w:r>
      <w:r w:rsidRPr="00745DD3">
        <w:rPr>
          <w:rFonts w:ascii="Roboto Light" w:eastAsia="Roboto Light" w:hAnsi="Roboto Light" w:cs="Roboto Light"/>
          <w:b/>
          <w:bCs/>
          <w:color w:val="404040" w:themeColor="text1" w:themeTint="BF"/>
          <w:sz w:val="20"/>
          <w:szCs w:val="20"/>
        </w:rPr>
        <w:t xml:space="preserve">Learning Management Systems (LMS)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training platforms aimed at enhancing employee engagement and skill acquisition pertinent to industry practices and safety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