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Python and Typescript for building DeFi solutions, with a strong emphasis on blockchain strategy development and market-making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Bitcoin, Solana, Avalanche, Smart Contracts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React,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Jenkins, Truffle,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BigQuery, Data Structures,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trading systems that enhanced trading capabilities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traders to innovate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which incorporated risk assessment and market-making obligations for enhanced profitability.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including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 management and wallet security, ensuring optimal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monitoring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24/7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trading that improved transaction reliability and decreased downtime through effective systems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to establish integration requirements, which helped enhance operational efficiency and response to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collaborations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frequent code reviews, and brainstorming sessions to foster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troubleshooting protocols, minimizing response times and resolving critical issues in real-time to maintain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development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applications for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delivering clean, tested, and reliable code while rapidly deploying new features in response to shifting market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trader engagement through enhanced usability and market information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enhancing data retrieval processes and maximizing efficiency in trading strategies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rapid deployment and flexibility of applications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blockchain interactions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applications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ensuring secure and efficient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trading performance trends and system health metrics, allowing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GraphQL APIs to facilitate seamless integration between frontend applications and backend services, improving responsiveness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for low-latency applications, enabling real-time processing of market data with reduced latency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 within cross-functional teams at Microsoft, fostering collaboration and rapid iteration for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APIs and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workflows and enhancing application performance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security protocols for managing sensitive data, ensuring compliance with industry standards and safeguarding client transactions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better performance by analyzing code for inefficiencies and applying best practices in coding standards and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coding under pressure during high-stake releases, which cultivated resilience and adaptability within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software development lifecycle management, including architecture design, coding, testing, and deployment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development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access for users in diverse geographical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developer experience by fostering best coding practices and code reviews, contributing to improved software quality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achieving desired coverage levels to ensure robust code quality and facilitate easier maintenance and changeover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UX through iterative feedback cycles by collaborating closely with visual designers and end users, resulting in more intuitive software interfaces and end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architectures ensuring improved maintainability and performance while reducing operational costs due to outdated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