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particularly focused on machine learning and data analytics. Proven track record in developing and deploying robust predictive models that enhance credit risk assessment and fraud detection. Adept in leveraging various data sources to drive insights and optimize business strategies, with a strong background in working collaboratively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 JavaScript, MATLAB,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Statistics:</w:t>
      </w:r>
      <w:r w:rsidRPr="00745DD3">
        <w:rPr>
          <w:rFonts w:ascii="Roboto Light" w:eastAsia="Roboto Light" w:hAnsi="Roboto Light" w:cs="Roboto Light"/>
          <w:color w:val="404040" w:themeColor="text1" w:themeTint="BF"/>
          <w:sz w:val="20"/>
          <w:szCs w:val="20"/>
        </w:rPr>
        <w:t xml:space="preserve"> Regression Analysis, Decision Trees, Neural Networks, Random Forest, K-Means Clustering, Support Vector Machines, Natural Language Processing, Dimensionality Reduction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BigQuery, Google Cloud Storage, Apache Spark, Hadoop, ETL Tools, Data Warehousing, LookML,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Looker, Power BI, Tableau, D3.js, Matplotlib, Seaborn, Plotly,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 &amp; DevOps:</w:t>
      </w:r>
      <w:r w:rsidRPr="00745DD3">
        <w:rPr>
          <w:rFonts w:ascii="Roboto Light" w:eastAsia="Roboto Light" w:hAnsi="Roboto Light" w:cs="Roboto Light"/>
          <w:color w:val="404040" w:themeColor="text1" w:themeTint="BF"/>
          <w:sz w:val="20"/>
          <w:szCs w:val="20"/>
        </w:rPr>
        <w:t xml:space="preserve"> Google Cloud Platform, AWS, Docker, Kubernetes, Git, CI/CD, Terraform, Cloud Pub/Sub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aimed at enhancing credit risk assessments, utilizing complex data sources to flourish scoring methodologies necessary for intelligent lending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optimize predictive models focused on </w:t>
      </w:r>
      <w:r w:rsidRPr="00745DD3">
        <w:rPr>
          <w:rFonts w:ascii="Roboto Light" w:eastAsia="Roboto Light" w:hAnsi="Roboto Light" w:cs="Roboto Light"/>
          <w:b/>
          <w:bCs/>
          <w:color w:val="404040" w:themeColor="text1" w:themeTint="BF"/>
          <w:sz w:val="20"/>
          <w:szCs w:val="20"/>
        </w:rPr>
        <w:t xml:space="preserve">fraud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adaptive strategies that effectively respond to dynamic market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refined quantitative models adhering to regulatory compliance, significantly contributing to the accuracy of </w:t>
      </w:r>
      <w:r w:rsidRPr="00745DD3">
        <w:rPr>
          <w:rFonts w:ascii="Roboto Light" w:eastAsia="Roboto Light" w:hAnsi="Roboto Light" w:cs="Roboto Light"/>
          <w:b/>
          <w:bCs/>
          <w:color w:val="404040" w:themeColor="text1" w:themeTint="BF"/>
          <w:sz w:val="20"/>
          <w:szCs w:val="20"/>
        </w:rPr>
        <w:t xml:space="preserve">Probability of Default (PD)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Loss Given Default (LGD)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LookML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insightful dashboards in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and interpret key performance indicators related to underwriting and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data processing pipelines using </w:t>
      </w:r>
      <w:r w:rsidRPr="00745DD3">
        <w:rPr>
          <w:rFonts w:ascii="Roboto Light" w:eastAsia="Roboto Light" w:hAnsi="Roboto Light" w:cs="Roboto Light"/>
          <w:b/>
          <w:bCs/>
          <w:color w:val="404040" w:themeColor="text1" w:themeTint="BF"/>
          <w:sz w:val="20"/>
          <w:szCs w:val="20"/>
        </w:rPr>
        <w:t xml:space="preserve">Google Cloud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management of diverse data streams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w:t>
      </w:r>
      <w:r w:rsidRPr="00745DD3">
        <w:rPr>
          <w:rFonts w:ascii="Roboto Light" w:eastAsia="Roboto Light" w:hAnsi="Roboto Light" w:cs="Roboto Light"/>
          <w:b/>
          <w:bCs/>
          <w:color w:val="404040" w:themeColor="text1" w:themeTint="BF"/>
          <w:sz w:val="20"/>
          <w:szCs w:val="20"/>
        </w:rPr>
        <w:t xml:space="preserve">credit bureau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utilizing statistical techniques to deliver ad-hoc insights that informed operational and strategic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engineers to effectively deploy models into production, ensuring quality and functionality while continuously monitoring performance within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risk-based pricing strategies by analyzing historical data trends, utilizing advanced analytics to enhance </w:t>
      </w:r>
      <w:r w:rsidRPr="00745DD3">
        <w:rPr>
          <w:rFonts w:ascii="Roboto Light" w:eastAsia="Roboto Light" w:hAnsi="Roboto Light" w:cs="Roboto Light"/>
          <w:b/>
          <w:bCs/>
          <w:color w:val="404040" w:themeColor="text1" w:themeTint="BF"/>
          <w:sz w:val="20"/>
          <w:szCs w:val="20"/>
        </w:rPr>
        <w:t xml:space="preserve">underwriting criteria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 financial forecasting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stress testing models under various market scenarios, conducting simulations to assess the resilience and performance of credit strategies amidst economic fluctuations.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reported on model performance, utilizing both qualitative and quantitative data to provide stakeholders with actionable insights for continual improvement initiatives in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science, machine learning, and effective communication of technical insights, fostering an environment of growth and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features for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performance and usability, which significantly improved user satisfaction across multiple products in the Microsoft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cross-team initiatives to leverage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big data processing, improving product offerings and tailoring user experiences based on behavioral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data pipelines and automate routine processes, facilitating the extraction of insights from large datasets critical to business operations and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adopting agile methodologies, continuously improving the development process of software products through effective communication and collaboration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new team members on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 best practices and tools, enhancing team productivity and fostering skill development across various technologies including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processes into product development, ensuring reliability and maintainability of applications while reducing time to market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utilized APIs to enable integration of internal systems with third-party services, ensuring data accuracy and enhancing functional capabilities of existing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usability testing and collected user feedback, applying the insights to influence design and feature implementation decisions, leading to better adoption rates.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