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Data Scientist with 11 years of experience in software development, specializing in web and mobile applications, data-driven decision-making, and revenue optimization strategies using advanced analytics techniques.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SQL, R, JavaScript, TypeScript,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Pandas, NumPy, SciPy, Tableau, Power BI, Matplotlib, Seaborn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SQLite, Oracle, Hadoop, Apache Spark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Jupyter, Docker, Kubernetes, Apache Airflow, TensorFlow,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Statistical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A/B Testing, Regression Analysis, Clustering, Time Series Analysis, Hypothesis Testing, Data Visualization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implementation of innovative pricing strategies that enhanced client acquisition and maximized revenue generation,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analysis and modeling processes to drive impactful decision-making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quantitative analysis techniques, including simulation models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A/B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influence strategic direction and recommend improvements, effectively communicating insights to cross-functional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refined quantitative tools within the data infrastructure, defining data structures and methodologies that enhanced data collection and analysis processes, optimizing system performance for key revenue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internal stakeholders from diverse backgrounds, including Revenue, Product, and Engineering teams, to define and execute data-driven strategies aligned with future product initiatives and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tracking methodologies to uncover revenue opportunities, enhancing analytics capabilities to support strategic decision-making and provide actionable insights to leadership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solutions for diverse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effective integration of data at scale across platforms, improving processing times and efficiency during system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on various projects to translate complex data into actionable insights, enhancing customer satisfaction and company profitability through strategic optimization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software applications with a strong focus on performance and scalability,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responsiveness and reduced loading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to enhance team competency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analytics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data-driven decision-making and supporting the growth of a highly skilled workforce in revenue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data projects, ensuring alignment with overarching business goals by prioritizing deliverables and balancing short-term results with long-term strategic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