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leveraging big data analytics to inform IP strategy, streamline operations, and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TensorFlow, PyTorch, Apache Spark,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Django, Flask, React, Node.js, Express.js,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Firebase, Oracle,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Azure, Docker, Kubernetes, CI/CD,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comprehensive data analysis for managing intellectual property operations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IP trends, enabling proactive decision-making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processing capabilities for large datasets centering around IP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Collabored within cross-functional teams to design and deploy software solutions enhancing workflow efficiency and productivity in </w:t>
      </w:r>
      <w:r w:rsidRPr="00745DD3">
        <w:rPr>
          <w:rFonts w:ascii="Roboto Light" w:eastAsia="Roboto Light" w:hAnsi="Roboto Light" w:cs="Roboto Light"/>
          <w:b/>
          <w:bCs/>
          <w:color w:val="404040" w:themeColor="text1" w:themeTint="BF"/>
          <w:sz w:val="20"/>
          <w:szCs w:val="20"/>
        </w:rPr>
        <w:t xml:space="preserve">IP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complex data insights, improving the user experience for IP stakeholders by providing intuitive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datasets for analysis and modeling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engaging in sprints and scrums to facilitate ongoing feedback, iterative development, and timely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the development of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for internal users and enhance the integration of the AQX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with user-centered design principles, making enhancements that improved usability for </w:t>
      </w:r>
      <w:r w:rsidRPr="00745DD3">
        <w:rPr>
          <w:rFonts w:ascii="Roboto Light" w:eastAsia="Roboto Light" w:hAnsi="Roboto Light" w:cs="Roboto Light"/>
          <w:b/>
          <w:bCs/>
          <w:color w:val="404040" w:themeColor="text1" w:themeTint="BF"/>
          <w:sz w:val="20"/>
          <w:szCs w:val="20"/>
        </w:rPr>
        <w:t xml:space="preserve">IP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law firms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of analytics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checks to ensure integrity and consistency of insights derived from analytical models used in business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w:t>
      </w:r>
      <w:r w:rsidRPr="00745DD3">
        <w:rPr>
          <w:rFonts w:ascii="Roboto Light" w:eastAsia="Roboto Light" w:hAnsi="Roboto Light" w:cs="Roboto Light"/>
          <w:b/>
          <w:bCs/>
          <w:color w:val="404040" w:themeColor="text1" w:themeTint="BF"/>
          <w:sz w:val="20"/>
          <w:szCs w:val="20"/>
        </w:rPr>
        <w:t xml:space="preserve">market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IP landscape, advising on technology enhancements to support ongoing product development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on software processes and data workflows, aiding in training and onboarding of team members and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efficiently, ensuring project milestones were met while adapting to changing needs and priorities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for streamlined development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responsiveness and performance to provide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processing and API development for internal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of designers and product managers to define application features, leading to the successful launch of several key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ensuring efficient tracking of changes and collaborative development across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processes,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high software quality and performance standards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enhancing inter-service communication and data exchange within applications, significantly improving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coding practices and knowledge sharing within the team, fostering a collaborative and continuous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application architecture using principles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agility and flexibility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automation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deployments and reducing time spent on manual overhead associated with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evaluation of new technologies, integrating advanced tools into the workflow to improve system design and software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the reliability and performance of the software deliverables following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end-user training and support, enhancing product knowledge and client satisfaction by addressing queries and offering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