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Data Scientist with over 11 years of software development experience specializing in web and mobile applications. Proficient in advanced analytics, machine learning (ML), and artificial intelligence (AI) to transform data into actionable insights. Adept at collaborating with cross-functional teams to design and implement robust data ingestion and transformation pipelines. Seeking to leverage technical expertise in a challenging new role at LabConnect.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scikit-learn, PyTorch, Keras, Pandas, NumPy,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Matplotlib, Seaborn, ggplot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ML/AI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extracting insights from complex, unstructured internal databases, significantly enhancing data-driven decision-making processes across multiple business units and optimizing resource allocation based on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IT, data engineering, and business development to define and refine data requirements, ensuring high-quality data ingestion and transformation pipelines supported strategic initiatives and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the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develop interactive dashboards and data visualizations that empowered stakeholders with real-time insights for better decision-making and performance tracking across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technically to the development of innovative customer offerings,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complex algorithms to elevate user experience and deliver measurable business impact in clinical trial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datasets from external collaborators such as </w:t>
      </w:r>
      <w:r w:rsidRPr="00745DD3">
        <w:rPr>
          <w:rFonts w:ascii="Roboto Light" w:eastAsia="Roboto Light" w:hAnsi="Roboto Light" w:cs="Roboto Light"/>
          <w:b/>
          <w:bCs/>
          <w:color w:val="404040" w:themeColor="text1" w:themeTint="BF"/>
          <w:sz w:val="20"/>
          <w:szCs w:val="20"/>
        </w:rPr>
        <w:t xml:space="preserve">CROs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vendors, enhancing model robustness and enabling comprehensive insights derived from diverse sources of clinical research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internal initiatives aimed at improving </w:t>
      </w:r>
      <w:r w:rsidRPr="00745DD3">
        <w:rPr>
          <w:rFonts w:ascii="Roboto Light" w:eastAsia="Roboto Light" w:hAnsi="Roboto Light" w:cs="Roboto Light"/>
          <w:b/>
          <w:bCs/>
          <w:color w:val="404040" w:themeColor="text1" w:themeTint="BF"/>
          <w:sz w:val="20"/>
          <w:szCs w:val="20"/>
        </w:rPr>
        <w:t xml:space="preserve">data aggregation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applied best practices in data cleaning, and enhanced data storytelling capabilities through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presented to executives.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industry trends in decentralized trials and digital health technologies, adapting analytical approaches to incorporate new research methodologies and regulatory standards affecting healthcare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 participation in interdepartmental meetings to present findings from data analyses, demonstrating the ability to communicate complex concepts to stakeholders with varying levels of technical expertise and encouraging data-driven cultures.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construct comprehensive reports and presentations that provide clarity and support decision-making for ongoing clinical studies and operational improvements in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to enhance team members' understanding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an environment of continuous learning and adaptation to emerging technologies in analysis and reporting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the integration of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modernize data processes, including migrations of legacy systems while ensuring data integrity and security across all platforms utilized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strategies for leveraging internal information systems to provide insights that drive business performance and enhance client satisfaction, particularly concerning trial data and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innovative uses of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regulatory workflows, working closely with compliance teams to ensure data utilization aligns with industry regulations and standard operational protocol.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alert systems and monitoring tools for real-time analytics leveraging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supported quick responses to data trends and anomalies, driving overall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governance teams to establish protocols ensuring adherence to clinical data standards such as </w:t>
      </w:r>
      <w:r w:rsidRPr="00745DD3">
        <w:rPr>
          <w:rFonts w:ascii="Roboto Light" w:eastAsia="Roboto Light" w:hAnsi="Roboto Light" w:cs="Roboto Light"/>
          <w:b/>
          <w:bCs/>
          <w:color w:val="404040" w:themeColor="text1" w:themeTint="BF"/>
          <w:sz w:val="20"/>
          <w:szCs w:val="20"/>
        </w:rPr>
        <w:t xml:space="preserve">CDISC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SDTM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compliance and reporting accuracy utilized in regulatory submissions.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backend support for data ingestion and processing functionalities, which improved application performance metrics and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engineering team’s efforts to utilize data engineering best practices within development processes, which optimized code efficiency and reduced technical debt across several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web applications, improving user interactions and application load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translate client requirements into working software solutions,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backlog management and deployment efficiency across various projects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workflows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of key software applications, which led to a marked decrease in critical bugs detected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for junior engineering staff, fostering an environment that prioritizes knowledge sharing and efficient coding practices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cloud resource management was optimized for performance and cost-efficiency resulting in streamlined service delivery and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regarding new applications, providing insights on system design and ensuring best practices were adhered to while aligning with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services, leveraging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while implementing practices that increased scalability and reliability across core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automated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integration/continuous deployment (CI/CD), which enhanced team productivity and minimized deployment-related downtime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user documentation and API references for internal teams, facilitating better understanding and usage of core functionalities within the delivered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addressing client issues by synthesizing feedback and collaborating closely with product management to align development roadmaps with market demands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