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Science, AI, and Machine Learning Lead with over 11 years of experience in software development focusing on web and mobile applications. Skilled in advanced analytics, developing health technology platforms, and leveraging AI/ML frameworks for improved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Hugging Face Transformers,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Kafka, Elasticsearch, DBT,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NoSQL,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software development of advanced </w:t>
      </w:r>
      <w:r w:rsidRPr="00745DD3">
        <w:rPr>
          <w:rFonts w:ascii="Roboto Light" w:eastAsia="Roboto Light" w:hAnsi="Roboto Light" w:cs="Roboto Light"/>
          <w:b/>
          <w:bCs/>
          <w:color w:val="404040" w:themeColor="text1" w:themeTint="BF"/>
          <w:sz w:val="20"/>
          <w:szCs w:val="20"/>
        </w:rPr>
        <w:t xml:space="preserve">data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latest methodologies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innovative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and algorithms to extract meaningful insights while ensuring compliance with </w:t>
      </w:r>
      <w:r w:rsidRPr="00745DD3">
        <w:rPr>
          <w:rFonts w:ascii="Roboto Light" w:eastAsia="Roboto Light" w:hAnsi="Roboto Light" w:cs="Roboto Light"/>
          <w:b/>
          <w:bCs/>
          <w:color w:val="404040" w:themeColor="text1" w:themeTint="BF"/>
          <w:sz w:val="20"/>
          <w:szCs w:val="20"/>
        </w:rPr>
        <w:t xml:space="preserve">healthcare 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data privacy and security throughout the entire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technical designs with business objectives, delivering scalable </w:t>
      </w:r>
      <w:r w:rsidRPr="00745DD3">
        <w:rPr>
          <w:rFonts w:ascii="Roboto Light" w:eastAsia="Roboto Light" w:hAnsi="Roboto Light" w:cs="Roboto Light"/>
          <w:b/>
          <w:bCs/>
          <w:color w:val="404040" w:themeColor="text1" w:themeTint="BF"/>
          <w:sz w:val="20"/>
          <w:szCs w:val="20"/>
        </w:rPr>
        <w:t xml:space="preserve">digital health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integrate clinical care and daily life management for patients.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feature engineering pipelines to optimize model performance while ensuring that landscapes of </w:t>
      </w:r>
      <w:r w:rsidRPr="00745DD3">
        <w:rPr>
          <w:rFonts w:ascii="Roboto Light" w:eastAsia="Roboto Light" w:hAnsi="Roboto Light" w:cs="Roboto Light"/>
          <w:b/>
          <w:bCs/>
          <w:color w:val="404040" w:themeColor="text1" w:themeTint="BF"/>
          <w:sz w:val="20"/>
          <w:szCs w:val="20"/>
        </w:rPr>
        <w:t xml:space="preserve">clinical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non-clinical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handled efficiently within federated learning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validated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rigorous statistical methods to ensure they meet clinical relevance and can be deployed in patient-oriented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to manage large volumes of clinical and health data, enhancing </w:t>
      </w:r>
      <w:r w:rsidRPr="00745DD3">
        <w:rPr>
          <w:rFonts w:ascii="Roboto Light" w:eastAsia="Roboto Light" w:hAnsi="Roboto Light" w:cs="Roboto Light"/>
          <w:b/>
          <w:bCs/>
          <w:color w:val="404040" w:themeColor="text1" w:themeTint="BF"/>
          <w:sz w:val="20"/>
          <w:szCs w:val="20"/>
        </w:rPr>
        <w:t xml:space="preserve">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governance in data utilizations for improved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and reports to communicate complex technical concepts to non-technical stakeholders, demonstrating expertise in translating advanced analytics into meaningful business strategies and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AI-based agents and chatbots to enhance consumer engagement, improve care management efficiency, and integrate intelligent features into </w:t>
      </w:r>
      <w:r w:rsidRPr="00745DD3">
        <w:rPr>
          <w:rFonts w:ascii="Roboto Light" w:eastAsia="Roboto Light" w:hAnsi="Roboto Light" w:cs="Roboto Light"/>
          <w:b/>
          <w:bCs/>
          <w:color w:val="404040" w:themeColor="text1" w:themeTint="BF"/>
          <w:sz w:val="20"/>
          <w:szCs w:val="20"/>
        </w:rPr>
        <w:t xml:space="preserve">patient-facing digital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complex mathematical models and statistical methods to analyze datasets incorporating varied sources, including </w:t>
      </w:r>
      <w:r w:rsidRPr="00745DD3">
        <w:rPr>
          <w:rFonts w:ascii="Roboto Light" w:eastAsia="Roboto Light" w:hAnsi="Roboto Light" w:cs="Roboto Light"/>
          <w:b/>
          <w:bCs/>
          <w:color w:val="404040" w:themeColor="text1" w:themeTint="BF"/>
          <w:sz w:val="20"/>
          <w:szCs w:val="20"/>
        </w:rPr>
        <w:t xml:space="preserve">EHR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social determinants of health, and consumer behavior metrics to derive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systems for federated data management, promoting user ownership and secure access to personal healthcare data among informal caregivers and patients for improved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vision for the development of new methodologies and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 latest research findings to continuously enhance our platform's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data quality and governance practices were adhered to while developing innovative approaches that resonate with </w:t>
      </w:r>
      <w:r w:rsidRPr="00745DD3">
        <w:rPr>
          <w:rFonts w:ascii="Roboto Light" w:eastAsia="Roboto Light" w:hAnsi="Roboto Light" w:cs="Roboto Light"/>
          <w:b/>
          <w:bCs/>
          <w:color w:val="404040" w:themeColor="text1" w:themeTint="BF"/>
          <w:sz w:val="20"/>
          <w:szCs w:val="20"/>
        </w:rPr>
        <w:t xml:space="preserve">healthcare professionals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engagement with care receivers.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management initiatives that optimized program performance and aligned with business objectives, ensuring successful delivery of </w:t>
      </w:r>
      <w:r w:rsidRPr="00745DD3">
        <w:rPr>
          <w:rFonts w:ascii="Roboto Light" w:eastAsia="Roboto Light" w:hAnsi="Roboto Light" w:cs="Roboto Light"/>
          <w:b/>
          <w:bCs/>
          <w:color w:val="404040" w:themeColor="text1" w:themeTint="BF"/>
          <w:sz w:val="20"/>
          <w:szCs w:val="20"/>
        </w:rPr>
        <w:t xml:space="preserve">digital health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medication adherence and overall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time-series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aimed at developing intelligent systems for analyzing patient data and deriving actionable insights based on evolving health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growth mindset by staying updated with industry-specific trends in </w:t>
      </w:r>
      <w:r w:rsidRPr="00745DD3">
        <w:rPr>
          <w:rFonts w:ascii="Roboto Light" w:eastAsia="Roboto Light" w:hAnsi="Roboto Light" w:cs="Roboto Light"/>
          <w:b/>
          <w:bCs/>
          <w:color w:val="404040" w:themeColor="text1" w:themeTint="BF"/>
          <w:sz w:val="20"/>
          <w:szCs w:val="20"/>
        </w:rPr>
        <w:t xml:space="preserve">digital health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capacity to integrate emerging features into product designs without compromising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advanced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 significantly enhancing software components through rigorous quality standards and best practices in development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identify and refine requirements for clinical applications, utilizing effective communication strategies that bridged the gap between technical execution and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database solutions ensuring data integrity, utilizing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tools for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to enhance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enhancements of existing software solutions by identifying critical performance issues and successfully implementing optimizations based on best practices in software engineering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health data storage and processing were both secure and efficient within evolving regulatory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integrating health applications with machine learning capabilities to provide life management solutions for individuals with chronic conditions by utilizing </w:t>
      </w: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project documentation and technical specifications, facilitating smoother transitions and onboarding of new team members into ongoing projects and explaining complex technical concepts in lay terms.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communication between client-side applications and servers, enabling timely data synchronization and improving the overall user experience of the healthcare applications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