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professional with over 11 years of experience in software development, specializing in data privacy and compliance. Proven expertise in implementing enterprise data privacy programs while ensuring adherence to CCPA, CPRA, and GDPR regulations. Strong skills in leveraging data protection frameworks and collaborating with cross-functional teams to drive compliance and mitigate risks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SQL, TypeScript, Ruby,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Privacy Frameworks:</w:t>
      </w:r>
      <w:r w:rsidRPr="00745DD3">
        <w:rPr>
          <w:rFonts w:ascii="Roboto Light" w:eastAsia="Roboto Light" w:hAnsi="Roboto Light" w:cs="Roboto Light"/>
          <w:color w:val="404040" w:themeColor="text1" w:themeTint="BF"/>
          <w:sz w:val="20"/>
          <w:szCs w:val="20"/>
        </w:rPr>
        <w:t xml:space="preserve"> CCPA, CPRA, GDPR, HIPAA, PCI DSS, SOC 2, NIST, ISO 27001</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Protection Tools:</w:t>
      </w:r>
      <w:r w:rsidRPr="00745DD3">
        <w:rPr>
          <w:rFonts w:ascii="Roboto Light" w:eastAsia="Roboto Light" w:hAnsi="Roboto Light" w:cs="Roboto Light"/>
          <w:color w:val="404040" w:themeColor="text1" w:themeTint="BF"/>
          <w:sz w:val="20"/>
          <w:szCs w:val="20"/>
        </w:rPr>
        <w:t xml:space="preserve"> Securiti, BigID, OneTrust, TrustArc, Microsoft Purview, Vanta, DataGuise, IBM OpenPages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Tools:</w:t>
      </w:r>
      <w:r w:rsidRPr="00745DD3">
        <w:rPr>
          <w:rFonts w:ascii="Roboto Light" w:eastAsia="Roboto Light" w:hAnsi="Roboto Light" w:cs="Roboto Light"/>
          <w:color w:val="404040" w:themeColor="text1" w:themeTint="BF"/>
          <w:sz w:val="20"/>
          <w:szCs w:val="20"/>
        </w:rPr>
        <w:t xml:space="preserve"> ServiceNow GRC, LogicManager, RSA Archer, IntraSee, AuditBoard, ZenGRC, RiskWatch, Quantivate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JIRA, Confluence, Docker, Kubernetes, Azure DevOps, AWS,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optimized enterprise data privacy platforms enhancing </w:t>
      </w:r>
      <w:r w:rsidRPr="00745DD3">
        <w:rPr>
          <w:rFonts w:ascii="Roboto Light" w:eastAsia="Roboto Light" w:hAnsi="Roboto Light" w:cs="Roboto Light"/>
          <w:b/>
          <w:bCs/>
          <w:color w:val="404040" w:themeColor="text1" w:themeTint="BF"/>
          <w:sz w:val="20"/>
          <w:szCs w:val="20"/>
        </w:rPr>
        <w:t xml:space="preserve">data subject access requests (DSAR)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demonstrating a clear understanding of compliance frameworks such as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legal and compliance teams to translate regulatory requirements into actionable technical controls and architecture patterns vital for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risk and readiness assessments using structured methodologies to evaluate control effectiveness, enhancing customer trust in compliance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flow mapping and validated controls in regulated environments, ensuring the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sensitive data against evolving regulations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IT and business teams on adopting </w:t>
      </w:r>
      <w:r w:rsidRPr="00745DD3">
        <w:rPr>
          <w:rFonts w:ascii="Roboto Light" w:eastAsia="Roboto Light" w:hAnsi="Roboto Light" w:cs="Roboto Light"/>
          <w:b/>
          <w:bCs/>
          <w:color w:val="404040" w:themeColor="text1" w:themeTint="BF"/>
          <w:sz w:val="20"/>
          <w:szCs w:val="20"/>
        </w:rPr>
        <w:t xml:space="preserve">privacy-by-design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compliant data handling practices, fostering a stronger </w:t>
      </w:r>
      <w:r w:rsidRPr="00745DD3">
        <w:rPr>
          <w:rFonts w:ascii="Roboto Light" w:eastAsia="Roboto Light" w:hAnsi="Roboto Light" w:cs="Roboto Light"/>
          <w:b/>
          <w:bCs/>
          <w:color w:val="404040" w:themeColor="text1" w:themeTint="BF"/>
          <w:sz w:val="20"/>
          <w:szCs w:val="20"/>
        </w:rPr>
        <w:t xml:space="preserve">security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organization-wide.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reviewed, and maintained data privacy policies aligned with evolving regulations and leading industry standards to mitigate potential compliance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documentation and maintained records to support internal and external audits, showcasing a commitment to </w:t>
      </w:r>
      <w:r w:rsidRPr="00745DD3">
        <w:rPr>
          <w:rFonts w:ascii="Roboto Light" w:eastAsia="Roboto Light" w:hAnsi="Roboto Light" w:cs="Roboto Light"/>
          <w:b/>
          <w:bCs/>
          <w:color w:val="404040" w:themeColor="text1" w:themeTint="BF"/>
          <w:sz w:val="20"/>
          <w:szCs w:val="20"/>
        </w:rPr>
        <w:t xml:space="preserve">transparency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regulatory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training initiatives to raise awareness about data privacy principles and practices among associates, reinforcing a strong compliance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resolve compliance gaps and improve integration of privacy protocols with existing IT governance strategies, strengthening overall risk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cutting-edge technologies for data protection including </w:t>
      </w:r>
      <w:r w:rsidRPr="00745DD3">
        <w:rPr>
          <w:rFonts w:ascii="Roboto Light" w:eastAsia="Roboto Light" w:hAnsi="Roboto Light" w:cs="Roboto Light"/>
          <w:b/>
          <w:bCs/>
          <w:color w:val="404040" w:themeColor="text1" w:themeTint="BF"/>
          <w:sz w:val="20"/>
          <w:szCs w:val="20"/>
        </w:rPr>
        <w:t xml:space="preserve">tokenization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risk incidence associated with customer PII and sensitive financial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audits and assessments to validate the effectiveness of </w:t>
      </w:r>
      <w:r w:rsidRPr="00745DD3">
        <w:rPr>
          <w:rFonts w:ascii="Roboto Light" w:eastAsia="Roboto Light" w:hAnsi="Roboto Light" w:cs="Roboto Light"/>
          <w:b/>
          <w:bCs/>
          <w:color w:val="404040" w:themeColor="text1" w:themeTint="BF"/>
          <w:sz w:val="20"/>
          <w:szCs w:val="20"/>
        </w:rPr>
        <w:t xml:space="preserve">compliance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operational maturity and demonstrating accountability in data stewardship.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centralized privacy reporting system via metrics and dashboards, providing clear insights and enhancing decision-making concerning regulatory compliance status and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compliance risks through continuous monitoring and proactive engagement with IT and business stakeholders, ensuring adherence to </w:t>
      </w:r>
      <w:r w:rsidRPr="00745DD3">
        <w:rPr>
          <w:rFonts w:ascii="Roboto Light" w:eastAsia="Roboto Light" w:hAnsi="Roboto Light" w:cs="Roboto Light"/>
          <w:b/>
          <w:bCs/>
          <w:color w:val="404040" w:themeColor="text1" w:themeTint="BF"/>
          <w:sz w:val="20"/>
          <w:szCs w:val="20"/>
        </w:rPr>
        <w:t xml:space="preserve">privacy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capabilities while ensuring compliance with relevant data privacy laws.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detailed reports and documentation supporting compliance audits, showcasing the organization’s commitment to robust data protection and regulatory adherence.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data protection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regulatory standards for data security and compliance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secure APIs and data handling practices, emphasizing the importance of </w:t>
      </w:r>
      <w:r w:rsidRPr="00745DD3">
        <w:rPr>
          <w:rFonts w:ascii="Roboto Light" w:eastAsia="Roboto Light" w:hAnsi="Roboto Light" w:cs="Roboto Light"/>
          <w:b/>
          <w:bCs/>
          <w:color w:val="404040" w:themeColor="text1" w:themeTint="BF"/>
          <w:sz w:val="20"/>
          <w:szCs w:val="20"/>
        </w:rPr>
        <w:t xml:space="preserve">secure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reducing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a comprehensive compliance and risk management framework that drives adherence to </w:t>
      </w:r>
      <w:r w:rsidRPr="00745DD3">
        <w:rPr>
          <w:rFonts w:ascii="Roboto Light" w:eastAsia="Roboto Light" w:hAnsi="Roboto Light" w:cs="Roboto Light"/>
          <w:b/>
          <w:bCs/>
          <w:color w:val="404040" w:themeColor="text1" w:themeTint="BF"/>
          <w:sz w:val="20"/>
          <w:szCs w:val="20"/>
        </w:rPr>
        <w:t xml:space="preserve">financial data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enhances operational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streamlining development workflows while embedding security and compliance controls into the software development lifecycle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Captured and analyzed system requirements for new software releases,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collaboration and adaptability within engineering and compliance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internal teams on compliance frameworks and security best practices, enhancing overall understanding and commitment to data governance.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tools for compliance monitoring and risk assessment, utilizing insights to anticipate compliance challenges and adopt proactive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 designing robust data encryption strategies utilizing advanced technologies, mitigating risks associated with data breaches and unauthorized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lifecycle management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retention and deletion policies in compliance with regulatory requirements to protect customer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negotiations with regulatory authorities and internal stakeholders to clarify compliance requirements and address key privacy concerns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audits of existing systems for regulatory compliance, identifying gaps, and presenting rich insights to executive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cultivation of a privacy-centric organizational culture through dedicated efforts in coaching and mentoring staff about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mechanisms.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