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Platform Migration Lead with 11 years of software development experience specializing in web and mobile applications. Expertise in Data Vault 2.0, Snowflake, and modern BI tools like Tableau and Power BI. Proven ability to manage complex data migration projects, foster cross-team collaboration, and leverage cutting-edge technologies to optimize data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Vault 2.0, Snowflake, Informatica Cloud, Erwin Data Modeler, ELT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Tools:</w:t>
      </w:r>
      <w:r w:rsidRPr="00745DD3">
        <w:rPr>
          <w:rFonts w:ascii="Roboto Light" w:eastAsia="Roboto Light" w:hAnsi="Roboto Light" w:cs="Roboto Light"/>
          <w:color w:val="404040" w:themeColor="text1" w:themeTint="BF"/>
          <w:sz w:val="20"/>
          <w:szCs w:val="20"/>
        </w:rPr>
        <w:t xml:space="preserve"> dbt, Fivetran, CData, Precog,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MicroStrategy, Tableau, Power BI, AtScale, Kyvos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Cloud Data Warehouse,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Informatica Retirement Initiative, orchestrating the migration from </w:t>
      </w:r>
      <w:r w:rsidRPr="00745DD3">
        <w:rPr>
          <w:rFonts w:ascii="Roboto Light" w:eastAsia="Roboto Light" w:hAnsi="Roboto Light" w:cs="Roboto Light"/>
          <w:b/>
          <w:bCs/>
          <w:color w:val="404040" w:themeColor="text1" w:themeTint="BF"/>
          <w:sz w:val="20"/>
          <w:szCs w:val="20"/>
        </w:rPr>
        <w:t xml:space="preserve">Informatica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 modern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that supports scalable ELT architectures, ensuring effective data management strategies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reverse-engineering processes for existing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mappings, successfully translating them into optimized </w:t>
      </w:r>
      <w:r w:rsidRPr="00745DD3">
        <w:rPr>
          <w:rFonts w:ascii="Roboto Light" w:eastAsia="Roboto Light" w:hAnsi="Roboto Light" w:cs="Roboto Light"/>
          <w:b/>
          <w:bCs/>
          <w:color w:val="404040" w:themeColor="text1" w:themeTint="BF"/>
          <w:sz w:val="20"/>
          <w:szCs w:val="20"/>
        </w:rPr>
        <w:t xml:space="preserve">Snowflake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to enhance data accessibility for varied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Vault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methodologies that aligned with enterprise standards, improving the overall integrity and usability of the data ecosystem through </w:t>
      </w:r>
      <w:r w:rsidRPr="00745DD3">
        <w:rPr>
          <w:rFonts w:ascii="Roboto Light" w:eastAsia="Roboto Light" w:hAnsi="Roboto Light" w:cs="Roboto Light"/>
          <w:b/>
          <w:bCs/>
          <w:color w:val="404040" w:themeColor="text1" w:themeTint="BF"/>
          <w:sz w:val="20"/>
          <w:szCs w:val="20"/>
        </w:rPr>
        <w:t xml:space="preserve">Erwin 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teams to align architectural decisions and migration timelines, fostering a culture of collaboration that resulted in streamlined project execution and reduced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redesign of ingestion patterns to emphasize scalability and reliability, leveraging tools such as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accommodate growing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vendor evaluations and negotiations for </w:t>
      </w:r>
      <w:r w:rsidRPr="00745DD3">
        <w:rPr>
          <w:rFonts w:ascii="Roboto Light" w:eastAsia="Roboto Light" w:hAnsi="Roboto Light" w:cs="Roboto Light"/>
          <w:b/>
          <w:bCs/>
          <w:color w:val="404040" w:themeColor="text1" w:themeTint="BF"/>
          <w:sz w:val="20"/>
          <w:szCs w:val="20"/>
        </w:rPr>
        <w:t xml:space="preserve">BI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reductions in cost while expanding the analytical capabilities of data systems under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core BI dashboards from </w:t>
      </w:r>
      <w:r w:rsidRPr="00745DD3">
        <w:rPr>
          <w:rFonts w:ascii="Roboto Light" w:eastAsia="Roboto Light" w:hAnsi="Roboto Light" w:cs="Roboto Light"/>
          <w:b/>
          <w:bCs/>
          <w:color w:val="404040" w:themeColor="text1" w:themeTint="BF"/>
          <w:sz w:val="20"/>
          <w:szCs w:val="20"/>
        </w:rPr>
        <w:t xml:space="preserve">MicroStrategy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visualization and insight generation that informed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architectural changes and migration strategies to ensure alignment with business objectives while supporting team onboarding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advanced data transformations and analytics, employing complex queries to support executive-level reporting with actionable insights derived from raw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establish key performance metrics for migration success, employing metrics-driven approaches to continuously assess and adjust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data governance principles and </w:t>
      </w:r>
      <w:r w:rsidRPr="00745DD3">
        <w:rPr>
          <w:rFonts w:ascii="Roboto Light" w:eastAsia="Roboto Light" w:hAnsi="Roboto Light" w:cs="Roboto Light"/>
          <w:b/>
          <w:bCs/>
          <w:color w:val="404040" w:themeColor="text1" w:themeTint="BF"/>
          <w:sz w:val="20"/>
          <w:szCs w:val="20"/>
        </w:rPr>
        <w:t xml:space="preserve">Data Vault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projects, instilling best practices in data quality and integrity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processes for data migration and validation, utilizing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accuracy and efficiency in data governance and warehouse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challenges of legacy ETL retirement, ensuring a smooth transition to modern data ingestion frameworks that integrated existing technological assets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executive-level presentations to communicate progress on migration initiatives, showcasing the impact of technology choices on data-driven successes and fostering stakeholder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business units to align data strategies with operational goals, promoting innovative solutions that leverage the full potential of an integrated data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 pipelines and reporting solutions, facilitating the transition to data-driven decision-making across departments while addressing key business questions through effective analytics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legacy systems by implementing ETL best practices, converting traditional pipelines into scalable </w:t>
      </w:r>
      <w:r w:rsidRPr="00745DD3">
        <w:rPr>
          <w:rFonts w:ascii="Roboto Light" w:eastAsia="Roboto Light" w:hAnsi="Roboto Light" w:cs="Roboto Light"/>
          <w:b/>
          <w:bCs/>
          <w:color w:val="404040" w:themeColor="text1" w:themeTint="BF"/>
          <w:sz w:val="20"/>
          <w:szCs w:val="20"/>
        </w:rPr>
        <w:t xml:space="preserve">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catered to modern operational needs in a dynamic business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efforts to establish semantic layers that prioritized user access and understanding,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reporting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BI tool migrations, providing cost-benefit analyses and aiding in the selection of optimal technologies to fit the company's analytical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enhance project workflows, fostering improved collaboration, adaptability, and responsiveness to business requirements while ensuring timely project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using </w:t>
      </w:r>
      <w:r w:rsidRPr="00745DD3">
        <w:rPr>
          <w:rFonts w:ascii="Roboto Light" w:eastAsia="Roboto Light" w:hAnsi="Roboto Light" w:cs="Roboto Light"/>
          <w:b/>
          <w:bCs/>
          <w:color w:val="404040" w:themeColor="text1" w:themeTint="BF"/>
          <w:sz w:val="20"/>
          <w:szCs w:val="20"/>
        </w:rPr>
        <w:t xml:space="preserve">Erwin Data Modeler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data consistency and aligning business objectives with analytic capabilities for various departments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vendor negotiations, effectively assessing proposals for ingestion tools that aligned with technical requirements and budget constraints, ultimately advancing project feasibility and timeline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BI tools and processes, driving organizational proficiency and ensuring successful adoption of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architecture standards, fostering a culture of learning and improvement that benefited both current staff and new hires entering data-driven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dashboards and reports for executive leadership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operational metrics and enabling informed decision-making among senior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governance teams to define and enforce data management policies, ensuring compliance and integrity of data practices across all platforms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repetitive tasks within data processing workflows, achieving greater efficiency and freeing resources for higher-level analytical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