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experience in software development, specializing in web and mobile applications. Proven expertise in application administration, integration strategies, and data analysis. Possesses strong communication skills to translate complex technical requirements for diverse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ETL:</w:t>
      </w:r>
      <w:r w:rsidRPr="00745DD3">
        <w:rPr>
          <w:rFonts w:ascii="Roboto Light" w:eastAsia="Roboto Light" w:hAnsi="Roboto Light" w:cs="Roboto Light"/>
          <w:color w:val="404040" w:themeColor="text1" w:themeTint="BF"/>
          <w:sz w:val="20"/>
          <w:szCs w:val="20"/>
        </w:rPr>
        <w:t xml:space="preserve"> Apache Kafka, Apache Spark, Talend, Informatica,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application architectures that support diverse data management strategies, ensuring alignment with State standards for </w:t>
      </w:r>
      <w:r w:rsidRPr="00745DD3">
        <w:rPr>
          <w:rFonts w:ascii="Roboto Light" w:eastAsia="Roboto Light" w:hAnsi="Roboto Light" w:cs="Roboto Light"/>
          <w:b/>
          <w:bCs/>
          <w:color w:val="404040" w:themeColor="text1" w:themeTint="BF"/>
          <w:sz w:val="20"/>
          <w:szCs w:val="20"/>
        </w:rPr>
        <w:t xml:space="preserve">application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integration strategies with State Enterprise Architecture Services, incorporating vital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exchange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management of cloud-based services, ensuring reliability and adherence to defined </w:t>
      </w:r>
      <w:r w:rsidRPr="00745DD3">
        <w:rPr>
          <w:rFonts w:ascii="Roboto Light" w:eastAsia="Roboto Light" w:hAnsi="Roboto Light" w:cs="Roboto Light"/>
          <w:b/>
          <w:bCs/>
          <w:color w:val="404040" w:themeColor="text1" w:themeTint="BF"/>
          <w:sz w:val="20"/>
          <w:szCs w:val="20"/>
        </w:rPr>
        <w:t xml:space="preserve">Service Level Agreements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validation processes, ensuring robust </w:t>
      </w:r>
      <w:r w:rsidRPr="00745DD3">
        <w:rPr>
          <w:rFonts w:ascii="Roboto Light" w:eastAsia="Roboto Light" w:hAnsi="Roboto Light" w:cs="Roboto Light"/>
          <w:b/>
          <w:bCs/>
          <w:color w:val="404040" w:themeColor="text1" w:themeTint="BF"/>
          <w:sz w:val="20"/>
          <w:szCs w:val="20"/>
        </w:rPr>
        <w:t xml:space="preserve">audit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integration workflows to maintain data integrity and security compliance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failover disaster recovery processes tailored for application-specific requirements, enhancing operational resilience and minimizing downtime during unforeseen outages or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insightful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make informed decisions based on real-time data analysis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audits and remediation efforts for applications, aligning with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to safeguard sensitive data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improved data exploration techniques through enhanced integration with </w:t>
      </w:r>
      <w:r w:rsidRPr="00745DD3">
        <w:rPr>
          <w:rFonts w:ascii="Roboto Light" w:eastAsia="Roboto Light" w:hAnsi="Roboto Light" w:cs="Roboto Light"/>
          <w:b/>
          <w:bCs/>
          <w:color w:val="404040" w:themeColor="text1" w:themeTint="BF"/>
          <w:sz w:val="20"/>
          <w:szCs w:val="20"/>
        </w:rPr>
        <w:t xml:space="preserve">document repositories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user access to critical information for better decision-making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deploying and managing data-driven applications on varied platforms for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supported existing applications by implementing troubleshooting measures and refining </w:t>
      </w:r>
      <w:r w:rsidRPr="00745DD3">
        <w:rPr>
          <w:rFonts w:ascii="Roboto Light" w:eastAsia="Roboto Light" w:hAnsi="Roboto Light" w:cs="Roboto Light"/>
          <w:b/>
          <w:bCs/>
          <w:color w:val="404040" w:themeColor="text1" w:themeTint="BF"/>
          <w:sz w:val="20"/>
          <w:szCs w:val="20"/>
        </w:rPr>
        <w:t xml:space="preserve">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to align with 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business challenges and conceptualized data-driven solutions, significantly improving operational efficiency through tailored project management and program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by translating complex technical concepts into layman's terms, ensuring clear understanding and alignment on project objectives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programs for junior engineers on best practices in data engineering, fostering a culture of continuous learning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monitoring frameworks, instituting proactive measures for resource utilization and mitigating risks through effective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deployment processes and application integration plans, ensuring knowledge transfer and continuity for maintenance and future upgrades.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complex software systems while actively engaging in agile development practices to adapt quickly to changing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systematic testing and quality assurance procedures across various software modules, focusing on early detection and resolution of bugs to optimize the overall product delivery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database management, ensuring high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user experience through iterative testing and feedback sessions, resulting in intuitive interfaces that improved user interactions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microservices architecture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between different application components and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technologies, advocating for optimized performance and lower operational costs through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emerging technologies and industry trends, sharing insights with team members for collaborative innovation and enhancement of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between front-end applications and back-end services, ensuring smooth data flow and effective user interactions on web platforms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processes and 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enhancing data accessibility and usability across various business units and reporting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documentation for complex software components, ensuring high code quality and adherence to industry standards across project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implemented indexing strategies to improve application performance, ensuring efficient data retrieval and processing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fostering a collaborative work environment and promoting knowledge sharing to enhance overall team performance in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