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11 years of experience in software development, specializing in data architecture and analytics in the healthcare sector. Proven expertise in optimizing data pipelines and enhancing data quality using Azure, DataBricks, and Python. Adept at collaborating with cross-functional teams to deliver innovative data-driven solutions that improve patient care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JavaScript, R,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Azure Data Factory, Snowflake, Databricks, Unity Catalog, Azure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Processing/ETL Tools:</w:t>
      </w:r>
      <w:r w:rsidRPr="00745DD3">
        <w:rPr>
          <w:rFonts w:ascii="Roboto Light" w:eastAsia="Roboto Light" w:hAnsi="Roboto Light" w:cs="Roboto Light"/>
          <w:color w:val="404040" w:themeColor="text1" w:themeTint="BF"/>
          <w:sz w:val="20"/>
          <w:szCs w:val="20"/>
        </w:rPr>
        <w:t xml:space="preserve"> ETL, ELT, Apache Spark, Apache Kafka, Talend, Pentaho, SSIS, DataOps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Redis, Cassandra, Oracle,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Visualization:</w:t>
      </w:r>
      <w:r w:rsidRPr="00745DD3">
        <w:rPr>
          <w:rFonts w:ascii="Roboto Light" w:eastAsia="Roboto Light" w:hAnsi="Roboto Light" w:cs="Roboto Light"/>
          <w:color w:val="404040" w:themeColor="text1" w:themeTint="BF"/>
          <w:sz w:val="20"/>
          <w:szCs w:val="20"/>
        </w:rPr>
        <w:t xml:space="preserve"> Power BI, Tableau, Looker, D3.js, Grafana, Plotly, Excel,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with the data engineering team and comprehensively analyzed </w:t>
      </w:r>
      <w:r w:rsidRPr="00745DD3">
        <w:rPr>
          <w:rFonts w:ascii="Roboto Light" w:eastAsia="Roboto Light" w:hAnsi="Roboto Light" w:cs="Roboto Light"/>
          <w:b/>
          <w:bCs/>
          <w:color w:val="404040" w:themeColor="text1" w:themeTint="BF"/>
          <w:sz w:val="20"/>
          <w:szCs w:val="20"/>
        </w:rPr>
        <w:t xml:space="preserve">Azure-based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infrastructures, enabling efficient transitions into current workflows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mapped existing data pipelines and models to ensure successful integration with ongoing projects, emphasizing seamless collaboration with multiple cross-functional teams for effective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management practices by developing and optimizing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ensuring data integrity across diverse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operational teams to automate data integration processes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via real-time data access and enhanced pipeline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data models to ensure data quality, employing </w:t>
      </w:r>
      <w:r w:rsidRPr="00745DD3">
        <w:rPr>
          <w:rFonts w:ascii="Roboto Light" w:eastAsia="Roboto Light" w:hAnsi="Roboto Light" w:cs="Roboto Light"/>
          <w:b/>
          <w:bCs/>
          <w:color w:val="404040" w:themeColor="text1" w:themeTint="BF"/>
          <w:sz w:val="20"/>
          <w:szCs w:val="20"/>
        </w:rPr>
        <w:t xml:space="preserve">Delta Tables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versioning and transactional data management that supports ongoing project needs and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gather requirements for advanced reporting capabilities, enabling the team to develop practical insights that align with corporate objectives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for data engineering processes and provided training to new team members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which improved team efficiency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validated performance metrics for multiple data pipelines, implementing proactive measures to ensure data quality and reliability in reporting workflows and visualization outputs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the latest trends in </w:t>
      </w:r>
      <w:r w:rsidRPr="00745DD3">
        <w:rPr>
          <w:rFonts w:ascii="Roboto Light" w:eastAsia="Roboto Light" w:hAnsi="Roboto Light" w:cs="Roboto Light"/>
          <w:b/>
          <w:bCs/>
          <w:color w:val="404040" w:themeColor="text1" w:themeTint="BF"/>
          <w:sz w:val="20"/>
          <w:szCs w:val="20"/>
        </w:rPr>
        <w:t xml:space="preserve">cloud-based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technologies to enhance personal capabilities and contribute innovative ideas for data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actionable dashboards, presenting complex datasets in a digestible format for non-technical stakeholders, thereby aiding in decision-making processes related to clinical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documentation and recommendations for migrating legacy data solutions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focusing on the systematic transformation and optimization of existing data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onboarding and integration of new client organizations through effective rollouts of existing data products, ensuring smooth transitions and ongoing client satisfaction with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workflows, elevating the analytical capabilities of diverse healthcare data consistently and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technical and non-technical stakeholders, fostering a collaborative environment that emphasized knowledge sharing and team synergy in advancing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quality assurance measures, ensuring that all elements of data processing adhered to established best practices, significantly enhancing the reliability and accuracy of organizational data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data pipelines supporting scalable data architectures while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optimizing resource allocation and data processing applications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architects to design efficient data solutions that aligned with user needs, employing cutting-edge technologies such as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expertise in database optimization techniques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throughput and response times for business-critical applications through data indexing and query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integration strategies,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streaming between systems, resulting in timely data availability that underpinned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and quality assurance protocols; applied rigorous testing methodologies in pipeline development to deliver high-quality output that met compliance and operational standards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tuning on data pipelines, proactively identifying bottlenecks and implementing solutions that improved efficiency and reduced operational costs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team meetings to share technical insights and best practices, nurturing a healthy development culture focused on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modeling techniques and analytics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data visualization and business intelligence reporting that enabled key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system architecture discussions and sprint planning sessions to align technical specifications with business objectives and deliverables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deep insights into healthcare data usage and storage methodologies, assessing clinical and non-clinical data workflows to improve data accessibility and operational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user acceptance testing of data products, capturing feedback that guided iterative improvements and features prioritization based on user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multiple projects simultaneously, applying expertise in </w:t>
      </w:r>
      <w:r w:rsidRPr="00745DD3">
        <w:rPr>
          <w:rFonts w:ascii="Roboto Light" w:eastAsia="Roboto Light" w:hAnsi="Roboto Light" w:cs="Roboto Light"/>
          <w:b/>
          <w:bCs/>
          <w:color w:val="404040" w:themeColor="text1" w:themeTint="BF"/>
          <w:sz w:val="20"/>
          <w:szCs w:val="20"/>
        </w:rPr>
        <w:t xml:space="preserve">ETL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management and support diverse organizational objectives with minimal disruption.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