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Analyst with over 11 years of experience in software development, specializing in data analysis, clinical data management, and healthcare application solutions. Proficient in building versatile data dashboards and reports to enhance decision-making and drive actionable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ETL, Data Warehousing, Data Cleaning, Data Validation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Tableau, Power BI, Excel, Statistical Analysis, Python,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Technologies:</w:t>
      </w:r>
      <w:r w:rsidRPr="00745DD3">
        <w:rPr>
          <w:rFonts w:ascii="Roboto Light" w:eastAsia="Roboto Light" w:hAnsi="Roboto Light" w:cs="Roboto Light"/>
          <w:color w:val="404040" w:themeColor="text1" w:themeTint="BF"/>
          <w:sz w:val="20"/>
          <w:szCs w:val="20"/>
        </w:rPr>
        <w:t xml:space="preserve"> EHRs, Claims Data, Quality Metrics, Risk Adjustment, HEDIS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Microsoft Teams,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data collection and management across multiple healthcare projects, creating efficient workflows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extract, clean, and transform clinical data from various EHR systems for analytical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dashboards and sophisticated reporting systems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track key </w:t>
      </w:r>
      <w:r w:rsidRPr="00745DD3">
        <w:rPr>
          <w:rFonts w:ascii="Roboto Light" w:eastAsia="Roboto Light" w:hAnsi="Roboto Light" w:cs="Roboto Light"/>
          <w:b/>
          <w:bCs/>
          <w:color w:val="404040" w:themeColor="text1" w:themeTint="BF"/>
          <w:sz w:val="20"/>
          <w:szCs w:val="20"/>
        </w:rPr>
        <w:t xml:space="preserve">VBC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and make informed operational decisions based on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on healthcare utilization trends, identifying care gaps and patient populations requiring immediate intervention, utilizing statistical methods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cohort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clinicians and operational management, translating complex datasets into actionable insights to improve patient care pathways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accessibility and integrity across BI tools, leading initiatives to re-architect databases for optimal performance and compliance with healthcare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query large datasets effectively, enabling thorough analysis of clinical outcomes and cost metrics for performance measurement in multiple healthcare financing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various technological best practices, including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lifecycle and enhance collaboration among team members working on shared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statistical techniques to evaluate patient care models, ensuring the healthcare services provided were aligned with established </w:t>
      </w:r>
      <w:r w:rsidRPr="00745DD3">
        <w:rPr>
          <w:rFonts w:ascii="Roboto Light" w:eastAsia="Roboto Light" w:hAnsi="Roboto Light" w:cs="Roboto Light"/>
          <w:b/>
          <w:bCs/>
          <w:color w:val="404040" w:themeColor="text1" w:themeTint="BF"/>
          <w:sz w:val="20"/>
          <w:szCs w:val="20"/>
        </w:rPr>
        <w:t xml:space="preserve">HEDIS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care standards, ultimately enhancing patient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meetings with clinical and administrative leaders to provide analytical insights based on detailed reports which influenced organizational strategy and led to improved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training efforts for staff on data utilization and interpretation, fostering a data-driven culture within the organization that prioritizes continuous improvement in patient care.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