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ERP solutions and integration, particularly within Microsoft Dynamics 365. Expertise in leading technical workshops and delivering innovative business solutions through solid understanding of Microsoft Azure, Data Management Framework, and various integration patterns. Proven ability to align technology with strategic business goals and effectively communicate at executive levels.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Azure DevOps, Azure Logic Apps, Azure Functions, Azure Blob Storage, Azure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&amp; Data Management:</w:t>
      </w:r>
      <w:r w:rsidRPr="00745DD3">
        <w:rPr>
          <w:rFonts w:ascii="Roboto Light" w:eastAsia="Roboto Light" w:hAnsi="Roboto Light" w:cs="Roboto Light"/>
          <w:color w:val="404040" w:themeColor="text1" w:themeTint="BF"/>
          <w:sz w:val="20"/>
          <w:szCs w:val="20"/>
        </w:rPr>
        <w:t xml:space="preserve"> Microsoft Dynamics 365, Dynamics AX 2012, Data Management Framework, PowerApps, Logic Apps, Data Migration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SQL, JavaScript, TypeScript, HTML/CSS, .NET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Power BI, DAX, SSRS, SQL Server, ETL,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Visual Studio Team Services, Life Cycle Services, Git, JIRA, Agile/Scrum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Role-based Security Design, Extensible Data Security, Azure Governance, Identity Management, Data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incorporating features such as custom integrations and modifications to meet diverse business needs, ensuring clarity in </w:t>
      </w:r>
      <w:r w:rsidRPr="00745DD3">
        <w:rPr>
          <w:rFonts w:ascii="Roboto Light" w:eastAsia="Roboto Light" w:hAnsi="Roboto Light" w:cs="Roboto Light"/>
          <w:b/>
          <w:bCs/>
          <w:color w:val="404040" w:themeColor="text1" w:themeTint="BF"/>
          <w:sz w:val="20"/>
          <w:szCs w:val="20"/>
        </w:rPr>
        <w:t xml:space="preserve">technical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between stakeholders and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technical workshops to define project scopes, clarify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points, and map out custom development processes for enterprise-level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resulting in improved project execution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system architecture design for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ERP capabilities with client objectives, while enforcing strict adherence to technical quality standards and industry best practices for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troubleshoot technical challenges,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optimize performance and ensure operational continuity across all project phases of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and technical specifications for all RICEW components within the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enhancing team understanding of project deliverables and fostering better collaboration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applications with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flow and compliance with existing architectural guidelines, thus preserving system integrity and business logic.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validated implementation designs with stakeholders, ensuring proposed technical solutions align with business requirements and strategic goals, fostering stakeholder approval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quality assurance reviews throughout development cycles, emphasizing the importance of adherence to </w:t>
      </w: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all project endeavors, ensuring data safety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Data Management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providing preconfigured data entities for use in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and ensuring timely and accurate data uploads during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best practices for customizing </w:t>
      </w:r>
      <w:r w:rsidRPr="00745DD3">
        <w:rPr>
          <w:rFonts w:ascii="Roboto Light" w:eastAsia="Roboto Light" w:hAnsi="Roboto Light" w:cs="Roboto Light"/>
          <w:b/>
          <w:bCs/>
          <w:color w:val="404040" w:themeColor="text1" w:themeTint="BF"/>
          <w:sz w:val="20"/>
          <w:szCs w:val="20"/>
        </w:rPr>
        <w:t xml:space="preserve">Dynamics 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guiding the development team on the distinction between </w:t>
      </w:r>
      <w:r w:rsidRPr="00745DD3">
        <w:rPr>
          <w:rFonts w:ascii="Roboto Light" w:eastAsia="Roboto Light" w:hAnsi="Roboto Light" w:cs="Roboto Light"/>
          <w:b/>
          <w:bCs/>
          <w:color w:val="404040" w:themeColor="text1" w:themeTint="BF"/>
          <w:sz w:val="20"/>
          <w:szCs w:val="20"/>
        </w:rPr>
        <w:t xml:space="preserve">extensions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overlayering for sustainable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knowledge sharing within the technical team, mentoring junior developers on the intricacies of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effective utilization of modern development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determine future architecture opportunities within the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facilitating alignment between technical and business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critical system functionalities in </w:t>
      </w:r>
      <w:r w:rsidRPr="00745DD3">
        <w:rPr>
          <w:rFonts w:ascii="Roboto Light" w:eastAsia="Roboto Light" w:hAnsi="Roboto Light" w:cs="Roboto Light"/>
          <w:b/>
          <w:bCs/>
          <w:color w:val="404040" w:themeColor="text1" w:themeTint="BF"/>
          <w:sz w:val="20"/>
          <w:szCs w:val="20"/>
        </w:rPr>
        <w:t xml:space="preserve">Microsoft Dynamics AX 2012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scalability for large enterprise clients across varying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clients to gather and refine technical requirements for customized applications, ensuring all deliverables met high standards of quality and functionality during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client training sessions focused on navigating and utilizing </w:t>
      </w:r>
      <w:r w:rsidRPr="00745DD3">
        <w:rPr>
          <w:rFonts w:ascii="Roboto Light" w:eastAsia="Roboto Light" w:hAnsi="Roboto Light" w:cs="Roboto Light"/>
          <w:b/>
          <w:bCs/>
          <w:color w:val="404040" w:themeColor="text1" w:themeTint="BF"/>
          <w:sz w:val="20"/>
          <w:szCs w:val="20"/>
        </w:rPr>
        <w:t xml:space="preserve">D365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empowering users to fully leverage the technology's capabilities while driving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 development involved creating custom reports and dashboards leveraging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powerful analytical tools to drive data-informed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change requests regarding software features and enhancements, assuring seamless integration into client environments while maintaining adherence to established architectural standards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supervised the performance testing of deployed systems, meticulously identifying bottlenecks and inefficiencies, suggesting improvements in coding practices and environment configurations that elevated systems'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expert-level knowledge of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ensuring all solutions adhered to the best practices outlined by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optimizing clients’ operational performance and reducing downtime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projects, thereby ensuring consistent software quality and accelerating the release cycles in dynamic project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