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CDP Data Engineer with over 11 years of experience in software development, specializing in data engineering and digital marketing technologies. Highly proficient in Adobe RTCDP and Adobe Experience Platform (AEP), delivering innovative data solutions that enhance customer segmentation and profiling. Adaptable team player with a keen eye for data quality and compliance, aiming to leverage expertise in data transformation, identity resolution, and cloud-based architectures to optimize data-driven marketing strategies.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Adobe RTCDP, Adobe Experience Platform, ETL, ELT, Data pipelines, Data quality, Identity resolution, Data transformation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JavaScript, R, Shell Scripting, Java, Scala,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GCP, Azure, Snowflake, BigQuery, Redshift, Apache Kafka,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Reporting:</w:t>
      </w:r>
      <w:r w:rsidRPr="00745DD3">
        <w:rPr>
          <w:rFonts w:ascii="Roboto Light" w:eastAsia="Roboto Light" w:hAnsi="Roboto Light" w:cs="Roboto Light"/>
          <w:color w:val="404040" w:themeColor="text1" w:themeTint="BF"/>
          <w:sz w:val="20"/>
          <w:szCs w:val="20"/>
        </w:rPr>
        <w:t xml:space="preserve"> Google Analytics, Tableau, Power BI, Looker, Data Studio, Machine Learning Models, Data Visualization, Predictive 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Marketing Technology:</w:t>
      </w:r>
      <w:r w:rsidRPr="00745DD3">
        <w:rPr>
          <w:rFonts w:ascii="Roboto Light" w:eastAsia="Roboto Light" w:hAnsi="Roboto Light" w:cs="Roboto Light"/>
          <w:color w:val="404040" w:themeColor="text1" w:themeTint="BF"/>
          <w:sz w:val="20"/>
          <w:szCs w:val="20"/>
        </w:rPr>
        <w:t xml:space="preserve"> MarTech, CDP, Data Activation, Segmentation Tools, Web SDK, API Integration, Marketing Automation, Consent Management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w:t>
      </w:r>
      <w:r w:rsidRPr="00745DD3">
        <w:rPr>
          <w:rFonts w:ascii="Roboto Light" w:eastAsia="Roboto Light" w:hAnsi="Roboto Light" w:cs="Roboto Light"/>
          <w:b/>
          <w:bCs/>
          <w:color w:val="404040" w:themeColor="text1" w:themeTint="BF"/>
          <w:sz w:val="20"/>
          <w:szCs w:val="20"/>
        </w:rPr>
        <w:t xml:space="preserve">XDM schemas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t>
      </w:r>
      <w:r w:rsidRPr="00745DD3">
        <w:rPr>
          <w:rFonts w:ascii="Roboto Light" w:eastAsia="Roboto Light" w:hAnsi="Roboto Light" w:cs="Roboto Light"/>
          <w:b/>
          <w:bCs/>
          <w:color w:val="404040" w:themeColor="text1" w:themeTint="BF"/>
          <w:sz w:val="20"/>
          <w:szCs w:val="20"/>
        </w:rPr>
        <w:t xml:space="preserve">Adobe AEP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RTCDP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business requirements while optimizing performance and data governance practices for the telecommunications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data ingestion pipelines utilizing </w:t>
      </w:r>
      <w:r w:rsidRPr="00745DD3">
        <w:rPr>
          <w:rFonts w:ascii="Roboto Light" w:eastAsia="Roboto Light" w:hAnsi="Roboto Light" w:cs="Roboto Light"/>
          <w:b/>
          <w:bCs/>
          <w:color w:val="404040" w:themeColor="text1" w:themeTint="BF"/>
          <w:sz w:val="20"/>
          <w:szCs w:val="20"/>
        </w:rPr>
        <w:t xml:space="preserve">batch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streaming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methods, adhering to </w:t>
      </w:r>
      <w:r w:rsidRPr="00745DD3">
        <w:rPr>
          <w:rFonts w:ascii="Roboto Light" w:eastAsia="Roboto Light" w:hAnsi="Roboto Light" w:cs="Roboto Light"/>
          <w:b/>
          <w:bCs/>
          <w:color w:val="404040" w:themeColor="text1" w:themeTint="BF"/>
          <w:sz w:val="20"/>
          <w:szCs w:val="20"/>
        </w:rPr>
        <w:t xml:space="preserve">privacy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high-quality data flow into the </w:t>
      </w:r>
      <w:r w:rsidRPr="00745DD3">
        <w:rPr>
          <w:rFonts w:ascii="Roboto Light" w:eastAsia="Roboto Light" w:hAnsi="Roboto Light" w:cs="Roboto Light"/>
          <w:b/>
          <w:bCs/>
          <w:color w:val="404040" w:themeColor="text1" w:themeTint="BF"/>
          <w:sz w:val="20"/>
          <w:szCs w:val="20"/>
        </w:rPr>
        <w:t xml:space="preserve">Adobe ecosystem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accurate profiling.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architects and data teams to refine </w:t>
      </w:r>
      <w:r w:rsidRPr="00745DD3">
        <w:rPr>
          <w:rFonts w:ascii="Roboto Light" w:eastAsia="Roboto Light" w:hAnsi="Roboto Light" w:cs="Roboto Light"/>
          <w:b/>
          <w:bCs/>
          <w:color w:val="404040" w:themeColor="text1" w:themeTint="BF"/>
          <w:sz w:val="20"/>
          <w:szCs w:val="20"/>
        </w:rPr>
        <w:t xml:space="preserve">data transformation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included </w:t>
      </w:r>
      <w:r w:rsidRPr="00745DD3">
        <w:rPr>
          <w:rFonts w:ascii="Roboto Light" w:eastAsia="Roboto Light" w:hAnsi="Roboto Light" w:cs="Roboto Light"/>
          <w:b/>
          <w:bCs/>
          <w:color w:val="404040" w:themeColor="text1" w:themeTint="BF"/>
          <w:sz w:val="20"/>
          <w:szCs w:val="20"/>
        </w:rPr>
        <w:t xml:space="preserve">identity stitching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logic and </w:t>
      </w:r>
      <w:r w:rsidRPr="00745DD3">
        <w:rPr>
          <w:rFonts w:ascii="Roboto Light" w:eastAsia="Roboto Light" w:hAnsi="Roboto Light" w:cs="Roboto Light"/>
          <w:b/>
          <w:bCs/>
          <w:color w:val="404040" w:themeColor="text1" w:themeTint="BF"/>
          <w:sz w:val="20"/>
          <w:szCs w:val="20"/>
        </w:rPr>
        <w:t xml:space="preserve">data preparatory rules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across the organization’s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data mapping and ensured adherence to architectural standards while managing </w:t>
      </w:r>
      <w:r w:rsidRPr="00745DD3">
        <w:rPr>
          <w:rFonts w:ascii="Roboto Light" w:eastAsia="Roboto Light" w:hAnsi="Roboto Light" w:cs="Roboto Light"/>
          <w:b/>
          <w:bCs/>
          <w:color w:val="404040" w:themeColor="text1" w:themeTint="BF"/>
          <w:sz w:val="20"/>
          <w:szCs w:val="20"/>
        </w:rPr>
        <w:t xml:space="preserve">data 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effective cross-channel </w:t>
      </w:r>
      <w:r w:rsidRPr="00745DD3">
        <w:rPr>
          <w:rFonts w:ascii="Roboto Light" w:eastAsia="Roboto Light" w:hAnsi="Roboto Light" w:cs="Roboto Light"/>
          <w:b/>
          <w:bCs/>
          <w:color w:val="404040" w:themeColor="text1" w:themeTint="BF"/>
          <w:sz w:val="20"/>
          <w:szCs w:val="20"/>
        </w:rPr>
        <w:t xml:space="preserve">marketing activation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reliable customer insights for targeted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w:t>
      </w:r>
      <w:r w:rsidRPr="00745DD3">
        <w:rPr>
          <w:rFonts w:ascii="Roboto Light" w:eastAsia="Roboto Light" w:hAnsi="Roboto Light" w:cs="Roboto Light"/>
          <w:b/>
          <w:bCs/>
          <w:color w:val="404040" w:themeColor="text1" w:themeTint="BF"/>
          <w:sz w:val="20"/>
          <w:szCs w:val="20"/>
        </w:rPr>
        <w:t xml:space="preserve">data validation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schema validation and anomaly detection to enforce data integrity and reliability for complex marketing systems in use by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numerous data ingestion issues, including failed migrations, identity conflicts, and mapping errors, to minimize downtime and ensure efficient operations within the client’s business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documentation for all datasets, mappings, and governance controls, ensuring transparency and compliance with data regulations like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CCPA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positively impacting client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privacy teams to implement </w:t>
      </w:r>
      <w:r w:rsidRPr="00745DD3">
        <w:rPr>
          <w:rFonts w:ascii="Roboto Light" w:eastAsia="Roboto Light" w:hAnsi="Roboto Light" w:cs="Roboto Light"/>
          <w:b/>
          <w:bCs/>
          <w:color w:val="404040" w:themeColor="text1" w:themeTint="BF"/>
          <w:sz w:val="20"/>
          <w:szCs w:val="20"/>
        </w:rPr>
        <w:t xml:space="preserve">role-based access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consent management processes, ensuring all stakeholders operated under enforced privacy regulations while handling consumer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improving team collaboration and delivery speed through efficient sprint planning and retrospective assessment sessions leading to more productive work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operational workflows by integrating </w:t>
      </w:r>
      <w:r w:rsidRPr="00745DD3">
        <w:rPr>
          <w:rFonts w:ascii="Roboto Light" w:eastAsia="Roboto Light" w:hAnsi="Roboto Light" w:cs="Roboto Light"/>
          <w:b/>
          <w:bCs/>
          <w:color w:val="404040" w:themeColor="text1" w:themeTint="BF"/>
          <w:sz w:val="20"/>
          <w:szCs w:val="20"/>
        </w:rPr>
        <w:t xml:space="preserve">RTCDP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downstream systems, facilitating strategic marketing decisions using insights derived from accurate segmentation and audience profiling.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teams to leverage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querying large datasets and validating coded logic which enhanced certification of data integrity and assisted in building machine learning readiness for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process improvements for </w:t>
      </w:r>
      <w:r w:rsidRPr="00745DD3">
        <w:rPr>
          <w:rFonts w:ascii="Roboto Light" w:eastAsia="Roboto Light" w:hAnsi="Roboto Light" w:cs="Roboto Light"/>
          <w:b/>
          <w:bCs/>
          <w:color w:val="404040" w:themeColor="text1" w:themeTint="BF"/>
          <w:sz w:val="20"/>
          <w:szCs w:val="20"/>
        </w:rPr>
        <w:t xml:space="preserve">data automation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advocating for best practices, which resulted in enhanced quality assurance for data handling processes across the client’s digital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Configuring and managing </w:t>
      </w:r>
      <w:r w:rsidRPr="00745DD3">
        <w:rPr>
          <w:rFonts w:ascii="Roboto Light" w:eastAsia="Roboto Light" w:hAnsi="Roboto Light" w:cs="Roboto Light"/>
          <w:b/>
          <w:bCs/>
          <w:color w:val="404040" w:themeColor="text1" w:themeTint="BF"/>
          <w:sz w:val="20"/>
          <w:szCs w:val="20"/>
        </w:rPr>
        <w:t xml:space="preserve">AEP sandboxes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testing purposes resulted in the innovative testing of new features without impacting live environments, ultimately increasing product reliability in client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 among data scientists, consultants, and analysts, exhibiting leadership in driving data-centric decisions which underpinned tactical marketing adjustments for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evaluated data integrity and reporting accuracy to proactively mitigate issues, increasing the effectiveness of data-driven marketing efforts and client engagement metrics.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enterprise-level </w:t>
      </w:r>
      <w:r w:rsidRPr="00745DD3">
        <w:rPr>
          <w:rFonts w:ascii="Roboto Light" w:eastAsia="Roboto Light" w:hAnsi="Roboto Light" w:cs="Roboto Light"/>
          <w:b/>
          <w:bCs/>
          <w:color w:val="404040" w:themeColor="text1" w:themeTint="BF"/>
          <w:sz w:val="20"/>
          <w:szCs w:val="20"/>
        </w:rPr>
        <w:t xml:space="preserve">software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directly contributed to increased operational efficiencies across diverse client environments in the tech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data models and frameworks that informed data integration strategies for enterprise applications leveraging cutting-edge </w:t>
      </w:r>
      <w:r w:rsidRPr="00745DD3">
        <w:rPr>
          <w:rFonts w:ascii="Roboto Light" w:eastAsia="Roboto Light" w:hAnsi="Roboto Light" w:cs="Roboto Light"/>
          <w:b/>
          <w:bCs/>
          <w:color w:val="404040" w:themeColor="text1" w:themeTint="BF"/>
          <w:sz w:val="20"/>
          <w:szCs w:val="20"/>
        </w:rPr>
        <w:t xml:space="preserve">cloud infrastructures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agile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foster an environment rooted in agile methodologies which improved project outcomes through enhanced communications and rapid iteration of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RESTful APIs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retrieval and manipulation, streamlining software development processes and fostering client relationships through adaptable technical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application testing and debugging sessions that ensured application performance met industry standards, improving overall user satisfaction and minimizing post-deployment issues encountered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client-facing meetings to gather requirements and translate marketing strategies into technical specifications aligning software tools with business goals and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data manipulation libraries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comprehensive data analysis, providing actionable insights through </w:t>
      </w:r>
      <w:r w:rsidRPr="00745DD3">
        <w:rPr>
          <w:rFonts w:ascii="Roboto Light" w:eastAsia="Roboto Light" w:hAnsi="Roboto Light" w:cs="Roboto Light"/>
          <w:b/>
          <w:bCs/>
          <w:color w:val="404040" w:themeColor="text1" w:themeTint="BF"/>
          <w:sz w:val="20"/>
          <w:szCs w:val="20"/>
        </w:rPr>
        <w:t xml:space="preserve">data visualization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informed strategic marketing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architecture of scalable applications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which enhanced application performance and maintainability while meeting client expectations for flexibility and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up-to-date with industry trends in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analytics technologies, mentoring junior developers on best practices and leading projects that utilized these emerging tools to enhance business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the integration of </w:t>
      </w:r>
      <w:r w:rsidRPr="00745DD3">
        <w:rPr>
          <w:rFonts w:ascii="Roboto Light" w:eastAsia="Roboto Light" w:hAnsi="Roboto Light" w:cs="Roboto Light"/>
          <w:b/>
          <w:bCs/>
          <w:color w:val="404040" w:themeColor="text1" w:themeTint="BF"/>
          <w:sz w:val="20"/>
          <w:szCs w:val="20"/>
        </w:rPr>
        <w:t xml:space="preserve">machine learning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applications, modernizing solutions to improve predictive capabilities while directly responding to evolving client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to define system architectures and data flows which ensured adherence to governance and compliance protocols, thereby facilitating transparency in software management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software deployment processes through automation using CI/CD pipelines, reducing time-to-market for critical updates and new features by focusing on continuous improvement in deployment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