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Bioinformatics Scientist II with over 11 years of software development experience, specializing in bioinformatics applications and genomic data analysis. Dedicated to enhancing diagnostic pipelines through innovative algorithm development and machine learning techniques.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Perl, Java, C#, Bash, Groovy,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Bioinformatics Tools:</w:t>
      </w:r>
      <w:r w:rsidRPr="00745DD3">
        <w:rPr>
          <w:rFonts w:ascii="Roboto Light" w:eastAsia="Roboto Light" w:hAnsi="Roboto Light" w:cs="Roboto Light"/>
          <w:color w:val="404040" w:themeColor="text1" w:themeTint="BF"/>
          <w:sz w:val="20"/>
          <w:szCs w:val="20"/>
        </w:rPr>
        <w:t xml:space="preserve"> Galaxy, Bioconductor, UCSC Genome Browser, Ensembl, GATK, HPC, CWL, WDL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Frameworks:</w:t>
      </w:r>
      <w:r w:rsidRPr="00745DD3">
        <w:rPr>
          <w:rFonts w:ascii="Roboto Light" w:eastAsia="Roboto Light" w:hAnsi="Roboto Light" w:cs="Roboto Light"/>
          <w:color w:val="404040" w:themeColor="text1" w:themeTint="BF"/>
          <w:sz w:val="20"/>
          <w:szCs w:val="20"/>
        </w:rPr>
        <w:t xml:space="preserve"> Airflow, Snakemake, TensorFlow, Keras, PyTorch, Dask, Pandas, NumPy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Development:</w:t>
      </w:r>
      <w:r w:rsidRPr="00745DD3">
        <w:rPr>
          <w:rFonts w:ascii="Roboto Light" w:eastAsia="Roboto Light" w:hAnsi="Roboto Light" w:cs="Roboto Light"/>
          <w:color w:val="404040" w:themeColor="text1" w:themeTint="BF"/>
          <w:sz w:val="20"/>
          <w:szCs w:val="20"/>
        </w:rPr>
        <w:t xml:space="preserve"> Git, Docker, Kubernetes, Jupyter Notebooks, Visual Studio, Eclipse, AWS,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Analysis:</w:t>
      </w:r>
      <w:r w:rsidRPr="00745DD3">
        <w:rPr>
          <w:rFonts w:ascii="Roboto Light" w:eastAsia="Roboto Light" w:hAnsi="Roboto Light" w:cs="Roboto Light"/>
          <w:color w:val="404040" w:themeColor="text1" w:themeTint="BF"/>
          <w:sz w:val="20"/>
          <w:szCs w:val="20"/>
        </w:rPr>
        <w:t xml:space="preserve"> Tidyverse, SPSS, Matlab, SAS, StatQuest, Plotly, SciPy, Seaborn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validated bioinformatics workflows for clinical applications,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efficiency in genomic diagnostic testing for pediatric patients, ensuring timely delivery of critical patient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 multidisciplinary team to establish strong communication channels, advocating for bioinformatics requirements that align with clinical testing needs, leading to successful project completions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development of data pipelines using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WDL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analysis process for various </w:t>
      </w:r>
      <w:r w:rsidRPr="00745DD3">
        <w:rPr>
          <w:rFonts w:ascii="Roboto Light" w:eastAsia="Roboto Light" w:hAnsi="Roboto Light" w:cs="Roboto Light"/>
          <w:b/>
          <w:bCs/>
          <w:color w:val="404040" w:themeColor="text1" w:themeTint="BF"/>
          <w:sz w:val="20"/>
          <w:szCs w:val="20"/>
        </w:rPr>
        <w:t xml:space="preserve">NGS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types, bolstering the reliability and speed of diagnostic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integrate machine learning models into bioinformatics workflows, utilizing libraries such as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predictive accuracy for genetic variations in complex diseases.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quality control processes for bioinformatics pipelines, focusing on error reduction and maintaining high standards during the diagnostics process through meticulous monitoring of output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extensive training and mentorship to new team members in coding best practices, particularly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Perl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consistent quality in the development of software applications in the lab.</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open-source bioinformatics tools to enhance existing data analysis capabilities, employing resources like </w:t>
      </w:r>
      <w:r w:rsidRPr="00745DD3">
        <w:rPr>
          <w:rFonts w:ascii="Roboto Light" w:eastAsia="Roboto Light" w:hAnsi="Roboto Light" w:cs="Roboto Light"/>
          <w:b/>
          <w:bCs/>
          <w:color w:val="404040" w:themeColor="text1" w:themeTint="BF"/>
          <w:sz w:val="20"/>
          <w:szCs w:val="20"/>
        </w:rPr>
        <w:t xml:space="preserve">Bioconductor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Galaxy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research outcomes amidst evolving diagnostic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advanced statistical analyses of genomic datasets using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multivariate methods to identify patterns and correlations, which have direct implications for clinical treatment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the design of collaborative projects and bioinformatics resources, ensuring guidelines and expected outcomes are well communicated and documented for ongoing project success and stakeholder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performed peer code reviews, promoting a culture of excellence and constructive feedback that fosters learning and improvement in coding practices across the bioinformatics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Conceptualized and implemented a framework for the integration of heterogeneous genomic data types, supporting innovative research that directly impacts pediatric healthcare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delivered presentations at departmental meetings, translating complex bioinformatics concepts into accessible language for clinicians, enhancing interdisciplinary collaboration and understanding of genomic data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interdisciplinary discussions, bridging the gap between bioinformatics and clinical applications, ensuring informed decisions regarding patient management are rooted in accurate genomic analyses and interpretations.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grant writing and manuscript preparation, contributing bioinformatics expertise and ensuring coherence in overall strategy and scientific rigor in proposals for research funding.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all bioinformatics processes, ensuring transparency and reproducibility, which are vital for both internal review and regulatory compliance.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innovative software solutions utilizing exceptionally robust programming languages including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product capabilities and responsiveness in web application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rigorous software engineering principles in updating and developing scalable frameworks, enhancing the performance of existing applications within Microsoft’s ecosystem to fulfill evolving customer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machine learning algorithms for data analysis, utilizing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identification of user patterns, significantly improving the predictive capabilities of the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collaborations to innovate on product features, regularly engaging in discussions that emphasize a clear understanding of project goals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aimed at integrating cutting-edge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application deployment processes and operational efficiency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contributed to maintaining code quality standards through robust testing practices, fostering a collaborative environment that prioritizes continuous improvement and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tests and performance benchmarks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robustness and reliability of the software developed within the team, identifying potential enhancements proactively.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which improved workflow efficiency, established clear communication practices within the team, and delivered incremental updates that align with stakeholder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transition to cloud-based solutions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scalability and availability of product offerings while enhancing user experience by leveraging best practices in DevOps.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weekly seminars on emerging technologies, sharing knowledge on bioinformatics advancements and software engineering principles, promoting a culture of continuous learning and professional development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extensively to the company's open-source projects, collaborating with global software developers to evolve community-driven tools that are widely used within the industry, enhancing corporate visibility.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all software products, ensuring clear guidelines and instructions are readily accessible to both technical staff and end-users, promoting efficient usage and maintenance guides.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