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backend systems development, API integrations, and data processing workflows for web and mobile applications. Proficient in Node.js, TypeScript, and React, with a strong understanding of enterprise system API integrations and database design. Demonstrated ability to collaborate effectively with cross-functional teams to deliver robust, secure software solutions that enhance user experiences and drive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Node.js, TypeScript, JavaScript, React, HTML5, CSS3, GraphQL,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WebSockets, SOAP, API Integration,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GCP, AWS,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ORM &amp; Middleware:</w:t>
      </w:r>
      <w:r w:rsidRPr="00745DD3">
        <w:rPr>
          <w:rFonts w:ascii="Roboto Light" w:eastAsia="Roboto Light" w:hAnsi="Roboto Light" w:cs="Roboto Light"/>
          <w:color w:val="404040" w:themeColor="text1" w:themeTint="BF"/>
          <w:sz w:val="20"/>
          <w:szCs w:val="20"/>
        </w:rPr>
        <w:t xml:space="preserve"> Prisma, Sequelize, Mongoose, Drizzle,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iPaaS platforms, Paragon, Zapier, Airbyte, Apache Kafka,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robust file processing backbones, ensuring seamless integration of complex document intake systems while maintaining high-speed data handling, through innovative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document parsing workflows that transformed an array of raw documents into structured, </w:t>
      </w:r>
      <w:r w:rsidRPr="00745DD3">
        <w:rPr>
          <w:rFonts w:ascii="Roboto Light" w:eastAsia="Roboto Light" w:hAnsi="Roboto Light" w:cs="Roboto Light"/>
          <w:b/>
          <w:bCs/>
          <w:color w:val="404040" w:themeColor="text1" w:themeTint="BF"/>
          <w:sz w:val="20"/>
          <w:szCs w:val="20"/>
        </w:rPr>
        <w:t xml:space="preserve">AI-ready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the platform's performance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service-level agreements (SLAs) that align with integration services, enhancing availability and reliability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database schemas, improving data retrieval times and overall application performance by optimizing queries and indexing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two-way sync engines between various enterprise systems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Google Drive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interoperability for legal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microservices architecture within the data integration domain, increasing operational agility and reducing time to market for features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code quality and minimized defects across services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establishment of a developer-friendly environment through comprehensive documentation and onboarding processes that emphasized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resilient job orchestration systems capable of monitoring integration tasks, enhancing observability, and enabling proactive failure management for critical batch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decision-making process on security measures vital for integrating sensitive legal documents, ensuring compliance with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admin features such as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DLP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enterprise IT workflows in response to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 sessions, fostering a culture of continuous learning and innovation among engineers engaged in backend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data redundancy and disaster recovery practices within integration pipelines, thus ensuring business continuity in the event of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initiative to reduce system latencies through advanced coding techniques and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querying as users scaled up their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production-ready backend systems while mentoring junior engineers, ensuring that best practices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consistently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backend services, optimizing data flow and improving user experience through effective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expanding endpoint functionality and addressing security vulnerabilities, resulting in a more robust interface for external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suites configuration tailored specifically for integration tests, enhancing code reliability while implementing a more efficient CI/CD pipeline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cross-department scrum team, utilizing Agile methodologies to refine development processes and increase project transparency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features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user interaction with seamless updates and improvements to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multi-tenant application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scalability and accommodating increased user demands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as part of continuous improvement initiatives, sharing insights on optimizing existing code and introducing appropriate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localized development, improving efficiency during debugging and deployment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introduced best practices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and schema design, driving improvements in database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to implement and refine enterprise integration strategies utilizing tools like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Paragon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clear documentation covering architectural decisions and integration workflows, empowering teams and aiding knowledge transfer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