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11 years of experience in software development, focusing on building secure and scalable cloud infrastructures, implementing automation practices, and enhancing system reliability. Specialized in Azure environments, observability, and CI/CD processes, complemented by expertise in development and operational practices that drive exceptional uptime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Azure DevOps, Terraform, Kubernetes, Docker,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Bash, PowerShell,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Azure Monitor, Application Insights, Datadog, Prometheus, Grafana, ELK Stack, Splunk,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Jenkins, CircleCI, Helm, Terraform Cloud, ArgoCD, CI/CD Pipelines,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Azure SQL Database, Cosmos DB, Redis, PostgreSQL, MongoDB, MySQL, SQL Server,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manage scalable, highly available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that supports the continuous delivery of services across diverse engineering teams to ensure the reliability and resilience of our core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 and track service level indicators (SLIs) and service level objectives (SLOs) while incorporating </w:t>
      </w:r>
      <w:r w:rsidRPr="00745DD3">
        <w:rPr>
          <w:rFonts w:ascii="Roboto Light" w:eastAsia="Roboto Light" w:hAnsi="Roboto Light" w:cs="Roboto Light"/>
          <w:b/>
          <w:bCs/>
          <w:color w:val="404040" w:themeColor="text1" w:themeTint="BF"/>
          <w:sz w:val="20"/>
          <w:szCs w:val="20"/>
        </w:rPr>
        <w:t xml:space="preserve">error budgets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our operational practices to ensure consistent service delivery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observability solutions that leverage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tracing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ability to monitor and troubleshoot production systems while actively participating in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adoption of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automation that reduces manual intervention and enhances operational efficiency in managing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multiple engineering teams to conduct performance analysis and capacity planning, enabling implementation strategies such as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optimization to meet varying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comprehensive cloud security posture management by integrating security controls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while implementing best practices for </w:t>
      </w: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Azure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incident management efforts, including the formulation of runbooks and automated remediation workflows to mitigate impacts during service disruptions while fostering a culture of </w:t>
      </w:r>
      <w:r w:rsidRPr="00745DD3">
        <w:rPr>
          <w:rFonts w:ascii="Roboto Light" w:eastAsia="Roboto Light" w:hAnsi="Roboto Light" w:cs="Roboto Light"/>
          <w:b/>
          <w:bCs/>
          <w:color w:val="404040" w:themeColor="text1" w:themeTint="BF"/>
          <w:sz w:val="20"/>
          <w:szCs w:val="20"/>
        </w:rPr>
        <w:t xml:space="preserve">blameless post-mortems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team members on best practices in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management, facilitating growth and knowledge sharing within our dynamic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implementation of chaos engineering practices to build </w:t>
      </w:r>
      <w:r w:rsidRPr="00745DD3">
        <w:rPr>
          <w:rFonts w:ascii="Roboto Light" w:eastAsia="Roboto Light" w:hAnsi="Roboto Light" w:cs="Roboto Light"/>
          <w:b/>
          <w:bCs/>
          <w:color w:val="404040" w:themeColor="text1" w:themeTint="BF"/>
          <w:sz w:val="20"/>
          <w:szCs w:val="20"/>
        </w:rPr>
        <w:t xml:space="preserve">self-healing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system resilience through proactive failure testing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Cross-collaborate effectively with global teams, leveraging strong communication skills to foster relationships, streamline processes, and ensure seamless operations despite time zone differences.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Azure governance features such as </w:t>
      </w:r>
      <w:r w:rsidRPr="00745DD3">
        <w:rPr>
          <w:rFonts w:ascii="Roboto Light" w:eastAsia="Roboto Light" w:hAnsi="Roboto Light" w:cs="Roboto Light"/>
          <w:b/>
          <w:bCs/>
          <w:color w:val="404040" w:themeColor="text1" w:themeTint="BF"/>
          <w:sz w:val="20"/>
          <w:szCs w:val="20"/>
        </w:rPr>
        <w:t xml:space="preserve">blueprints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tagging to maintain organized and cost-effective cloud resource management while adhering to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emerging technologies such as </w:t>
      </w:r>
      <w:r w:rsidRPr="00745DD3">
        <w:rPr>
          <w:rFonts w:ascii="Roboto Light" w:eastAsia="Roboto Light" w:hAnsi="Roboto Light" w:cs="Roboto Light"/>
          <w:b/>
          <w:bCs/>
          <w:color w:val="404040" w:themeColor="text1" w:themeTint="BF"/>
          <w:sz w:val="20"/>
          <w:szCs w:val="20"/>
        </w:rPr>
        <w:t xml:space="preserve">KEDA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our observability and reliability frameworks, keeping our tech stack modern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operational playbooks that outline processes for incident response, recovery strategies, and routine maintenance tasks to contribute to enhanced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and implement automation solutions to eliminate toil, ensuring that engineering teams can focus on higher-value activities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cross-functional project meetings to provide insights and collaborate on initiatives that align with our strategic goals in the cloud computing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core technologies, focusing on enhancing performance and reliability through best coding practices and performance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reduce operational friction and improve release cadences.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microservices architecture, enabling the business to respond dynamically to changing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response times and providing real-time insights into application performance and user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contributing to designs that balance performance and cost, ensuring scalability while adhering to budget and resource allocation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 strategies that involved transforming legacy systems to modern </w:t>
      </w:r>
      <w:r w:rsidRPr="00745DD3">
        <w:rPr>
          <w:rFonts w:ascii="Roboto Light" w:eastAsia="Roboto Light" w:hAnsi="Roboto Light" w:cs="Roboto Light"/>
          <w:b/>
          <w:bCs/>
          <w:color w:val="404040" w:themeColor="text1" w:themeTint="BF"/>
          <w:sz w:val="20"/>
          <w:szCs w:val="20"/>
        </w:rPr>
        <w:t xml:space="preserve">Azure-based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helping to streamline operations and reduce maintenance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insight and reporting capabilities for business intelligence purposes while ensuring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automation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workflow efficiency, significantly reducing time spent on repetitive tasks and increasing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and cultivating a culture of </w:t>
      </w:r>
      <w:r w:rsidRPr="00745DD3">
        <w:rPr>
          <w:rFonts w:ascii="Roboto Light" w:eastAsia="Roboto Light" w:hAnsi="Roboto Light" w:cs="Roboto Light"/>
          <w:b/>
          <w:bCs/>
          <w:color w:val="404040" w:themeColor="text1" w:themeTint="BF"/>
          <w:sz w:val="20"/>
          <w:szCs w:val="20"/>
        </w:rPr>
        <w:t xml:space="preserve">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promoting best practices that emphasize proactive system health management and team collaboration across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procedures for disaster recovery planning, ensuring systems could be restored with minimal downtime in the event of a failure or outage.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and deploy cloud services, enhancing application delivery and simplifying environment management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and collaborated with various development teams to integrate feedback loops for continuous improvement, enhancing team effectiveness and system performance as a whole.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