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with a primary focus on developing innovative AI-driven visual solutions for creative industries. Proven expertise in visual generative AI principles, including diffusion models, and deep proficiency with modern ML frameworks such as PyTorch and TensorFlow. Adept at collaborating with cross-functional teams to deliver high-quality, real-time AI features that drive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Frameworks:</w:t>
      </w:r>
      <w:r w:rsidRPr="00745DD3">
        <w:rPr>
          <w:rFonts w:ascii="Roboto Light" w:eastAsia="Roboto Light" w:hAnsi="Roboto Light" w:cs="Roboto Light"/>
          <w:color w:val="404040" w:themeColor="text1" w:themeTint="BF"/>
          <w:sz w:val="20"/>
          <w:szCs w:val="20"/>
        </w:rPr>
        <w:t xml:space="preserve"> PyTorch, TensorFlow, Keras, Scikit-learn, MXNet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 AI Tools:</w:t>
      </w:r>
      <w:r w:rsidRPr="00745DD3">
        <w:rPr>
          <w:rFonts w:ascii="Roboto Light" w:eastAsia="Roboto Light" w:hAnsi="Roboto Light" w:cs="Roboto Light"/>
          <w:color w:val="404040" w:themeColor="text1" w:themeTint="BF"/>
          <w:sz w:val="20"/>
          <w:szCs w:val="20"/>
        </w:rPr>
        <w:t xml:space="preserve"> Hugging Face Diffusers, OpenCV, PIL, NumPy, Blender Python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TensorBoard, Pinecone, Weaviate, SQL,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Deployment Tools:</w:t>
      </w:r>
      <w:r w:rsidRPr="00745DD3">
        <w:rPr>
          <w:rFonts w:ascii="Roboto Light" w:eastAsia="Roboto Light" w:hAnsi="Roboto Light" w:cs="Roboto Light"/>
          <w:color w:val="404040" w:themeColor="text1" w:themeTint="BF"/>
          <w:sz w:val="20"/>
          <w:szCs w:val="20"/>
        </w:rPr>
        <w:t xml:space="preserve"> Docker, Kubernetes,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Generative Technologies:</w:t>
      </w:r>
      <w:r w:rsidRPr="00745DD3">
        <w:rPr>
          <w:rFonts w:ascii="Roboto Light" w:eastAsia="Roboto Light" w:hAnsi="Roboto Light" w:cs="Roboto Light"/>
          <w:color w:val="404040" w:themeColor="text1" w:themeTint="BF"/>
          <w:sz w:val="20"/>
          <w:szCs w:val="20"/>
        </w:rPr>
        <w:t xml:space="preserve"> Stable Diffusion, Generative Adversarial Networks (GANs), Variational Autoencoders (VAEs), 3D Assets, Style Transfer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visual generative AI models using </w:t>
      </w:r>
      <w:r w:rsidRPr="00745DD3">
        <w:rPr>
          <w:rFonts w:ascii="Roboto Light" w:eastAsia="Roboto Light" w:hAnsi="Roboto Light" w:cs="Roboto Light"/>
          <w:b/>
          <w:bCs/>
          <w:color w:val="404040" w:themeColor="text1" w:themeTint="BF"/>
          <w:sz w:val="20"/>
          <w:szCs w:val="20"/>
        </w:rPr>
        <w:t xml:space="preserve">Stable Diffusion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model performance and enabling swift generation of high-quality outputs suitable for various creative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inference pipelines that facilitate real-time visual content generation, improving user interaction with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for 3D environments and creative media.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Tailored specific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unique tasks such as </w:t>
      </w:r>
      <w:r w:rsidRPr="00745DD3">
        <w:rPr>
          <w:rFonts w:ascii="Roboto Light" w:eastAsia="Roboto Light" w:hAnsi="Roboto Light" w:cs="Roboto Light"/>
          <w:b/>
          <w:bCs/>
          <w:color w:val="404040" w:themeColor="text1" w:themeTint="BF"/>
          <w:sz w:val="20"/>
          <w:szCs w:val="20"/>
        </w:rPr>
        <w:t xml:space="preserve">3D asset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style transfer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quality visual content that meets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prototype and integrate AI-driven visual features, resulting in enhanced user experiences and innovative design applications across distributed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data pipelines to enhance the processing and augmentation of visual datasets, utilizing tools such as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Weaviate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vector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AI models to improve performance with a keen focus on balancing latency, quality, and computational efficiency in creative project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artists and designers to ensure the artistic integrity of AI-generated outputs while respecting the creative limits of professional standards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out-of-the-box solutions utilizing pre-trained models and open-source frameworks, leading to exceptional visual results that are tailored for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adherence to creative vision by harnessing generative technologies in collaborative environments to achieve client goals and aesthetic aspirations.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strategic optimization techniques, including model quantization and pruning, to achieve faster inference times for large-scale </w:t>
      </w:r>
      <w:r w:rsidRPr="00745DD3">
        <w:rPr>
          <w:rFonts w:ascii="Roboto Light" w:eastAsia="Roboto Light" w:hAnsi="Roboto Light" w:cs="Roboto Light"/>
          <w:b/>
          <w:bCs/>
          <w:color w:val="404040" w:themeColor="text1" w:themeTint="BF"/>
          <w:sz w:val="20"/>
          <w:szCs w:val="20"/>
        </w:rPr>
        <w:t xml:space="preserve">visual 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commercial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AI outputs to ensure fidelity to creative designs, fostering a cooperative relationship between engineering and creative teams to completely redefine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Leader in cross-functional projects, demonstrating </w:t>
      </w:r>
      <w:r w:rsidRPr="00745DD3">
        <w:rPr>
          <w:rFonts w:ascii="Roboto Light" w:eastAsia="Roboto Light" w:hAnsi="Roboto Light" w:cs="Roboto Light"/>
          <w:b/>
          <w:bCs/>
          <w:color w:val="404040" w:themeColor="text1" w:themeTint="BF"/>
          <w:sz w:val="20"/>
          <w:szCs w:val="20"/>
        </w:rPr>
        <w:t xml:space="preserve">adaptability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involvement of multiple disciplines to foster a holistic approach to technology and design integration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researching the latest industry trends in </w:t>
      </w:r>
      <w:r w:rsidRPr="00745DD3">
        <w:rPr>
          <w:rFonts w:ascii="Roboto Light" w:eastAsia="Roboto Light" w:hAnsi="Roboto Light" w:cs="Roboto Light"/>
          <w:b/>
          <w:bCs/>
          <w:color w:val="404040" w:themeColor="text1" w:themeTint="BF"/>
          <w:sz w:val="20"/>
          <w:szCs w:val="20"/>
        </w:rPr>
        <w:t xml:space="preserve">visual 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proactive enhancements to existing system architectures to stay ahead in a competitive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fostering a positive team culture that emphasizes collaboration, knowledge sharing, and mutual respect in high-pressure environments to ensure efficient project completion.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backup and data recovery processes, ensuring the integrity of visual datasets while seeking new methods for constant improvement in data management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multiple applications leveraging </w:t>
      </w: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underpinned by strong engineering principles to support the evolving needs of users in a highly dynamic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environment to deliver robust software features with a focus on user-centric design and effective user experience evaluation in product iterations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diverse teams to assess the performance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feedback and suggestions for enhancements that align with user experience and operational capability.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software development, including test-driven development (TDD) and continuous integration/continuous deployment (CI/CD) processes, to streamline the delivery of software artifacts.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and mentorship sessions to promote best coding practices, facilitating junior engineers' growth and reinforcing a culture of continuous learning and improvement among the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deployment strategies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applications, ensuring efficient resource allocation and minimizing deployment times while maximizing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profiling tools to monitor application behavior, with a focus on ensuring ideal performance standards and identifying bottlenecks within existing software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approaches in team brainstorming sessions, leveraging experimental technologies to explore the possibilities of integrating emerging AI capabilities into existing frameworks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teams to outline project goals, strategize development cycles, and monitor deliverables to ensure alignment with stakeholder expectations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for software development processes and system architecture to support knowledge transfer and continuity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product visioning sessions and road mapping to analyze market trends and customer feedback, steering product development in line with customer needs and satisfaction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