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11 years of experience in software development, specializing in web and mobile applications. Proven ability to lead global initiatives in automation, and AI, while driving enterprise transformation strategies. Adept at collaborating with cross-functional teams to deploy scalable technologies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 SQL,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TensorFlow, PyTorch, Apache Kafka, UiPath, Blue Prism, Power Automate, ChatGPT API, RPA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Spring Boot, FastAPI,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MongoDB, PostgreSQL, Elasticsearch, Hadoop, Apache Spark, Redis,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enablement of </w:t>
      </w:r>
      <w:r w:rsidRPr="00745DD3">
        <w:rPr>
          <w:rFonts w:ascii="Roboto Light" w:eastAsia="Roboto Light" w:hAnsi="Roboto Light" w:cs="Roboto Light"/>
          <w:b/>
          <w:bCs/>
          <w:color w:val="404040" w:themeColor="text1" w:themeTint="BF"/>
          <w:sz w:val="20"/>
          <w:szCs w:val="20"/>
        </w:rPr>
        <w:t xml:space="preserve">hybrid intelligent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driving enterprise transformation, aligning services with organizational strategy to improve global scalability and coherence across various business operations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integrated </w:t>
      </w:r>
      <w:r w:rsidRPr="00745DD3">
        <w:rPr>
          <w:rFonts w:ascii="Roboto Light" w:eastAsia="Roboto Light" w:hAnsi="Roboto Light" w:cs="Roboto Light"/>
          <w:b/>
          <w:bCs/>
          <w:color w:val="404040" w:themeColor="text1" w:themeTint="BF"/>
          <w:sz w:val="20"/>
          <w:szCs w:val="20"/>
        </w:rPr>
        <w:t xml:space="preserve">AI-driven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reusable enterprise services, significantly enhancing adoption, sustainability, and the delivery of value while maintaining governance and oversight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formation and scaling of </w:t>
      </w:r>
      <w:r w:rsidRPr="00745DD3">
        <w:rPr>
          <w:rFonts w:ascii="Roboto Light" w:eastAsia="Roboto Light" w:hAnsi="Roboto Light" w:cs="Roboto Light"/>
          <w:b/>
          <w:bCs/>
          <w:color w:val="404040" w:themeColor="text1" w:themeTint="BF"/>
          <w:sz w:val="20"/>
          <w:szCs w:val="20"/>
        </w:rPr>
        <w:t xml:space="preserve">Centers of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mentoring capability leaders across federated teams and establishing cohesive methodologies for deploying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refined the performance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portfolios, identifying high-impact use cases, enabling investment reallocation, and ensuring that initiatives align with overall enterprise objectives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frameworks for quantifying effectiveness and business value from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prioritization of resources and sharing success stories across the organization to boost morale and acceptance.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IT stakeholders to ensure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were strategically aligned with broader enterprise goals, fostering an environment conducive to sustained innovation and transformative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streamlined approval processes for </w:t>
      </w: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reducing operational friction and synergy, while ensuring compliance and ethical standards were upheld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cloud-based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deployment of automation solutions ensuring seamless integration with existing business ecosystems, driving efficiency and profitability across diverse operational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rapid adoption of new technologies by enabling quick wins with </w:t>
      </w: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their tangible business impacts to anchor sustained enthusiasm and innovativeness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with necessary skill sets and knowledge to leverage advanced tools, ensuring alignment with MetLife’s strategic directions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vendors to enhance the effectiveness of selected </w:t>
      </w:r>
      <w:r w:rsidRPr="00745DD3">
        <w:rPr>
          <w:rFonts w:ascii="Roboto Light" w:eastAsia="Roboto Light" w:hAnsi="Roboto Light" w:cs="Roboto Light"/>
          <w:b/>
          <w:bCs/>
          <w:color w:val="404040" w:themeColor="text1" w:themeTint="BF"/>
          <w:sz w:val="20"/>
          <w:szCs w:val="20"/>
        </w:rPr>
        <w:t xml:space="preserve">AI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operational models, minimizing tool sprawl, and reinforcing a shared vision for success within MetLife’s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metrics and KPIs for measuring the impact of automation initiatives, allowing for data-driven decision-making and iterative enhancements to existing processes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aimed at integrating customer feedback into product features for </w:t>
      </w: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that offerings remained relevant and effectively addressed user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technological assessments of automation capabilities, executing strategies to minimize gaps and enhance platform resource utilization while maintaining focus on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cultural change through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responses to emerging market needs were swift and aligned with MetLife’s mission to deliver real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web applications, enhancing user engagement and streamlining workflows for clients by leveraging modern programming techniques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implementation of </w:t>
      </w:r>
      <w:r w:rsidRPr="00745DD3">
        <w:rPr>
          <w:rFonts w:ascii="Roboto Light" w:eastAsia="Roboto Light" w:hAnsi="Roboto Light" w:cs="Roboto Light"/>
          <w:b/>
          <w:bCs/>
          <w:color w:val="404040" w:themeColor="text1" w:themeTint="BF"/>
          <w:sz w:val="20"/>
          <w:szCs w:val="20"/>
        </w:rPr>
        <w:t xml:space="preserve">cloud-based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increased application scalability and reduced deployment times, utilizing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organization's ability to deliver on-demand services while ensuring adherence to compliance standards across diverse platforms and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automation gaps, facilitating the creation of tools that integrate seamlessly into existing workflows while maximizing operational efficiency and minimizing manual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data management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for analytics and reporting purposes, critical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integration projects with third-party services to enhance existing applications with functionalities powered by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driving user experiences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automating build and deployment processes which reduced time-to-market while achieving higher quality standards across all product offerings provided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and debugging of software applications built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resolving issues efficiently to minimize downtime and user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contributing to sprint planning and retrospective meetings, ensuring continuous improvement, and facilitating adaptive responses to changing project needs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flow and integrations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data processing and event-driven capabilities within applications, enhancing the robustness of solutions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 modular approach to component development that ensured code reusability and maintainability across variable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sharing knowledge on the latest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frameworks, and best practices to maintain a high standard of code quality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