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9 years of experience in developing innovative web and mobile applications using advanced AI and machine learning principles. Proven ability to drive client-focused projects while implementing state-of-the-art technology solutions including Python, TensorFlow, and AWS. Expertise in model deployment and optimization, ensuring scalable, production-grade outcomes for high-impact business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 SQL,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OpenCV, NLTK, spaCy,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(GCP), Docker, Kubernetes,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Apache Spark, Pandas, NumPy, PostgreSQL, MySQL, Apache Kafka, Elasticsearch,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Deployment:</w:t>
      </w:r>
      <w:r w:rsidRPr="00745DD3">
        <w:rPr>
          <w:rFonts w:ascii="Roboto Light" w:eastAsia="Roboto Light" w:hAnsi="Roboto Light" w:cs="Roboto Light"/>
          <w:color w:val="404040" w:themeColor="text1" w:themeTint="BF"/>
          <w:sz w:val="20"/>
          <w:szCs w:val="20"/>
        </w:rPr>
        <w:t xml:space="preserve"> MLflow, Airflow, Kubeflow, Seldon, BentoML, DataRobot, ModelDB, DVC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Data Engineers to design and implement robust machine learning models and AI solutions, enhancing operational efficiency and driving key business results through innovative technology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production-quality code adhering to industry standards, engaging in complex algorithms and programming best practices to ensure seamless integration and performance for client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advanced machine learning and deep learning models, focusing on performance optimization and scalability to meet diverse business needs, utilizing state-of-the-art frameworks and infrastructure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client production pipelines, guaranteeing persistence and reliability by addressing system operational challenges and ensuring robust performance under stress-testing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modular AI components and re-usable accelerators, significantly contributing to standardized delivery protocols and enhancing efficiency throughout practice operations and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billing utilization effectively, ensuring detailed tracking of deliverables and maximizing client ROI through high-impact AI systemizations and measurable project outcomes, thus supporting CBTS profitability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AI/ML services to streamline model development workflows, enabling efficient resource management while delivering cutting-edge AI features across diverse client environments and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emerging trends in AI technologies, implementing new practices and tools that directly contributed to elevating the quality and capability of AI solutions served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with team members on AI best practices and development tools, fostering a culture of innovation and collaboration within engineering teams at CBTS for enhanced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architecture discussions, providing insights and suggestions for improving system designs and technology choices aligned with modern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collaboration with multidisciplinary teams to assess project requirements and adapt engineering approaches, ultimately leading to improved project delivery timelines and client satisfaction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documentation of best practices in AI systems design and deployment, enhancing organizational knowledge and contributing to successful project completions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observational strategies for operational monitoring and automation in AI lifecycle management, leveraging tools and technologies for streamlined project execution and enhanced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 initiatives that required interdisciplinary teamwork, leveraging interpersonal communication skills to align software development goals with clients’ strategic objectives and business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strategize on client-focused solutions, applying analytical skills to identify pain points and proposing effective AI-driven resolutions.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solutions that aligned with client needs and optimized business processes for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to deployment, ensuring comprehensive application functionality through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optimize user experiences and backend functionalities for enterprise applications through effective coding practices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into applications while maintaining adherence to high standards of security and performance, thus enhancing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databases and cloud services to manage application data efficiently, enabling quick access and processing capabilities tailored specifically for client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and debugging processes,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assurance standards were met before deployment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software components and maintained clear documentation, ensuring smooth integration between system modules and transparency with project partners across multiple levels of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streamline CI/CD pipelines through established practices and tools, increasing deployment speeds and reducing operational risks associated with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fostering an environment of continuous learning and encouraging innovative problem-solving approaches to complex development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diagnosed technical issues related to application performance while proposing solutions that significantly improved operational workflows and efficiency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scalable software solutions tailored to meet both current and future business requirements, using strategies that ensured client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clients to define project specifications and gather feedback, resulting in enhanced software features that improved client satisfaction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